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b/>
          <w:bCs/>
          <w:sz w:val="22"/>
          <w:szCs w:val="21"/>
        </w:rPr>
      </w:pPr>
    </w:p>
    <w:p>
      <w:pPr>
        <w:jc w:val="center"/>
        <w:rPr>
          <w:rFonts w:hint="default" w:ascii="仿宋" w:hAnsi="仿宋" w:eastAsia="仿宋"/>
          <w:b/>
          <w:bCs/>
          <w:sz w:val="36"/>
          <w:szCs w:val="32"/>
          <w:lang w:val="en-US" w:eastAsia="zh-CN"/>
        </w:rPr>
      </w:pPr>
      <w:r>
        <w:rPr>
          <w:rFonts w:hint="eastAsia" w:ascii="仿宋" w:hAnsi="仿宋" w:eastAsia="仿宋"/>
          <w:b/>
          <w:bCs/>
          <w:sz w:val="36"/>
          <w:szCs w:val="32"/>
        </w:rPr>
        <w:t>乡村孩子筑梦计划</w:t>
      </w:r>
      <w:r>
        <w:rPr>
          <w:rFonts w:hint="eastAsia" w:ascii="仿宋" w:hAnsi="仿宋" w:eastAsia="仿宋"/>
          <w:b/>
          <w:bCs/>
          <w:sz w:val="36"/>
          <w:szCs w:val="32"/>
          <w:lang w:val="en-US" w:eastAsia="zh-CN"/>
        </w:rPr>
        <w:t>项目运行分析报告</w:t>
      </w:r>
    </w:p>
    <w:p>
      <w:pPr>
        <w:jc w:val="center"/>
        <w:rPr>
          <w:rFonts w:ascii="仿宋" w:hAnsi="仿宋" w:eastAsia="仿宋"/>
          <w:b/>
          <w:bCs/>
          <w:sz w:val="24"/>
          <w:szCs w:val="22"/>
        </w:rPr>
      </w:pPr>
      <w:r>
        <w:rPr>
          <w:rFonts w:hint="eastAsia" w:ascii="仿宋" w:hAnsi="仿宋" w:eastAsia="仿宋"/>
          <w:b/>
          <w:bCs/>
          <w:sz w:val="24"/>
          <w:szCs w:val="22"/>
        </w:rPr>
        <w:t>（2</w:t>
      </w:r>
      <w:r>
        <w:rPr>
          <w:rFonts w:ascii="仿宋" w:hAnsi="仿宋" w:eastAsia="仿宋"/>
          <w:b/>
          <w:bCs/>
          <w:sz w:val="24"/>
          <w:szCs w:val="22"/>
        </w:rPr>
        <w:t>022</w:t>
      </w:r>
      <w:r>
        <w:rPr>
          <w:rFonts w:hint="eastAsia" w:ascii="仿宋" w:hAnsi="仿宋" w:eastAsia="仿宋"/>
          <w:b/>
          <w:bCs/>
          <w:sz w:val="24"/>
          <w:szCs w:val="22"/>
        </w:rPr>
        <w:t>年1</w:t>
      </w:r>
      <w:r>
        <w:rPr>
          <w:rFonts w:ascii="仿宋" w:hAnsi="仿宋" w:eastAsia="仿宋"/>
          <w:b/>
          <w:bCs/>
          <w:sz w:val="24"/>
          <w:szCs w:val="22"/>
        </w:rPr>
        <w:t>2</w:t>
      </w:r>
      <w:r>
        <w:rPr>
          <w:rFonts w:hint="eastAsia" w:ascii="仿宋" w:hAnsi="仿宋" w:eastAsia="仿宋"/>
          <w:b/>
          <w:bCs/>
          <w:sz w:val="24"/>
          <w:szCs w:val="22"/>
        </w:rPr>
        <w:t>月）</w:t>
      </w:r>
    </w:p>
    <w:p>
      <w:pPr>
        <w:spacing w:line="360" w:lineRule="auto"/>
        <w:jc w:val="center"/>
        <w:rPr>
          <w:rFonts w:ascii="仿宋" w:hAnsi="仿宋" w:eastAsia="仿宋"/>
          <w:sz w:val="24"/>
          <w:szCs w:val="24"/>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筑梦计划背景：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根据第七次全国人口普查数据，2020年中国0-17周岁儿童人口为2.98亿人，其中，36.47%居住在城区（城市），26.47%居住在镇区（镇），37.06%居住在乡村，中国镇区和乡村容纳了全国63.53%的学生。</w:t>
      </w:r>
      <w:r>
        <w:rPr>
          <w:rFonts w:hint="eastAsia" w:ascii="仿宋" w:hAnsi="仿宋" w:eastAsia="仿宋"/>
          <w:b/>
          <w:bCs/>
          <w:sz w:val="24"/>
          <w:szCs w:val="24"/>
        </w:rPr>
        <w:t>乡镇依旧是中国</w:t>
      </w:r>
      <w:bookmarkStart w:id="0" w:name="_GoBack"/>
      <w:r>
        <w:rPr>
          <w:rFonts w:hint="eastAsia" w:ascii="仿宋" w:hAnsi="仿宋" w:eastAsia="仿宋"/>
          <w:b/>
          <w:bCs/>
          <w:sz w:val="24"/>
          <w:szCs w:val="24"/>
        </w:rPr>
        <w:t>儿</w:t>
      </w:r>
      <w:bookmarkEnd w:id="0"/>
      <w:r>
        <w:rPr>
          <w:rFonts w:hint="eastAsia" w:ascii="仿宋" w:hAnsi="仿宋" w:eastAsia="仿宋"/>
          <w:b/>
          <w:bCs/>
          <w:sz w:val="24"/>
          <w:szCs w:val="24"/>
        </w:rPr>
        <w:t>童主要学习和生活的场域。</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据国家统计局湖南调查总队统计数据显示，2021年湖南农村居民平均每人纯收入（可支配收入）16951元，在《2017年中国教育财政家庭调查》可知，全国农村地区平均家庭教育支出，初中阶段为4466元、普通高中为1.22万元。</w:t>
      </w:r>
      <w:r>
        <w:rPr>
          <w:rFonts w:hint="eastAsia" w:ascii="仿宋" w:hAnsi="仿宋" w:eastAsia="仿宋"/>
          <w:b/>
          <w:bCs/>
          <w:sz w:val="24"/>
          <w:szCs w:val="24"/>
        </w:rPr>
        <w:t>乡镇学生读书，仍旧面临经济压力。很多乡村家庭仍面临经济压力而不得不外出务工，致使乡村孩子留守情况严重。</w:t>
      </w:r>
      <w:r>
        <w:rPr>
          <w:rFonts w:hint="eastAsia" w:ascii="仿宋" w:hAnsi="仿宋" w:eastAsia="仿宋"/>
          <w:sz w:val="24"/>
          <w:szCs w:val="24"/>
        </w:rPr>
        <w:t>据2021年弘慧教育基金会对湖南省9个县域进行县域教育现状调研的结果显示，乡村学生的留守率高达80%以上，且主要照顾人为祖/外父母，乡村学生留守导致其社会支持状况存在家庭系统支持缺位、学校系统支持不完善、社区系统支持功能受忽视、朋辈系统支持存在负向影响、其他系统支持不足的现象 。</w:t>
      </w:r>
    </w:p>
    <w:p>
      <w:pPr>
        <w:spacing w:line="360" w:lineRule="auto"/>
        <w:ind w:firstLine="480" w:firstLineChars="200"/>
        <w:rPr>
          <w:rFonts w:ascii="仿宋" w:hAnsi="仿宋" w:eastAsia="仿宋"/>
          <w:b/>
          <w:bCs/>
          <w:sz w:val="24"/>
          <w:szCs w:val="24"/>
        </w:rPr>
      </w:pPr>
      <w:r>
        <w:rPr>
          <w:rFonts w:hint="eastAsia" w:ascii="仿宋" w:hAnsi="仿宋" w:eastAsia="仿宋"/>
          <w:sz w:val="24"/>
          <w:szCs w:val="24"/>
        </w:rPr>
        <w:t>2022年10月15日，湖南下发《湖南省学生资助资金管理办法》，强调各地各校可通过勤工助学、“绿色通道”、“三助”岗位、校内资助、社会资助等方式完善学生资助体系，在国家资助政策体系下，家庭经济困难学生的受教育权利得到保障，学生资助政策已得到社会的普遍认可，同时随着社会对乡村孩子成长认知的完善与教育公益慈善领域的发展，</w:t>
      </w:r>
      <w:r>
        <w:rPr>
          <w:rFonts w:hint="eastAsia" w:ascii="仿宋" w:hAnsi="仿宋" w:eastAsia="仿宋"/>
          <w:b/>
          <w:bCs/>
          <w:sz w:val="24"/>
          <w:szCs w:val="24"/>
        </w:rPr>
        <w:t>对在困境中成长的乡村孩子的资助已逐渐由原来单一的资金支持丰富为资金资助、关注其心理陪伴的多维度支持。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2001年，根据湖南省乡村地区的贫困孩子读书难的实情及乡村孩子圆梦大学、改变生命轨迹的需求，湖南弘慧教育发展基金会在沅陵县第一中学发起“赢帆奖学金”，开始从资助-陪伴-赋能三个维度，支持乡村孩子的成长和发展。</w:t>
      </w:r>
    </w:p>
    <w:p>
      <w:pPr>
        <w:spacing w:line="360" w:lineRule="auto"/>
        <w:ind w:firstLine="480" w:firstLineChars="200"/>
        <w:rPr>
          <w:rFonts w:ascii="仿宋" w:hAnsi="仿宋" w:eastAsia="仿宋"/>
          <w:sz w:val="24"/>
          <w:szCs w:val="24"/>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筑梦计划简介：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筑梦计划旨在通过搭建一所没有围墙的人格养成学校，联动社会和学校的力量，为乡村孩子搭建多元社会支持网络，陪伴一批在困难的成长环境下，坚持学习、有责任感、具有利他精神的有志乡村学子，让他们在生活力、学习力、社会力方面得到充分成长与发展，最终成为愿意回馈社会和反哺家乡的乡村榜样和担当者。</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筑梦计划截至2022年</w:t>
      </w:r>
      <w:r>
        <w:rPr>
          <w:rFonts w:ascii="仿宋" w:hAnsi="仿宋" w:eastAsia="仿宋"/>
          <w:sz w:val="24"/>
          <w:szCs w:val="24"/>
        </w:rPr>
        <w:t>12</w:t>
      </w:r>
      <w:r>
        <w:rPr>
          <w:rFonts w:hint="eastAsia" w:ascii="仿宋" w:hAnsi="仿宋" w:eastAsia="仿宋"/>
          <w:sz w:val="24"/>
          <w:szCs w:val="24"/>
        </w:rPr>
        <w:t>月，在长期合作的11个县域的225所学校中，累计长期陪伴了6040位乡村学子，陪伴</w:t>
      </w:r>
      <w:r>
        <w:rPr>
          <w:rFonts w:ascii="仿宋" w:hAnsi="仿宋" w:eastAsia="仿宋"/>
          <w:sz w:val="24"/>
          <w:szCs w:val="24"/>
        </w:rPr>
        <w:t>2618</w:t>
      </w:r>
      <w:r>
        <w:rPr>
          <w:rFonts w:hint="eastAsia" w:ascii="仿宋" w:hAnsi="仿宋" w:eastAsia="仿宋"/>
          <w:sz w:val="24"/>
          <w:szCs w:val="24"/>
        </w:rPr>
        <w:t>位乡村孩子圆梦大学。</w:t>
      </w:r>
    </w:p>
    <w:p>
      <w:pPr>
        <w:spacing w:line="360" w:lineRule="auto"/>
        <w:ind w:firstLine="480" w:firstLineChars="200"/>
        <w:rPr>
          <w:rFonts w:ascii="仿宋" w:hAnsi="仿宋" w:eastAsia="仿宋"/>
          <w:sz w:val="24"/>
          <w:szCs w:val="24"/>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筑梦计划发展历程：</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（一）项目起源：</w:t>
      </w:r>
      <w:r>
        <w:rPr>
          <w:rFonts w:hint="eastAsia" w:ascii="仿宋" w:hAnsi="仿宋" w:eastAsia="仿宋"/>
          <w:sz w:val="24"/>
          <w:szCs w:val="24"/>
        </w:rPr>
        <w:t>筑梦计划起源于2</w:t>
      </w:r>
      <w:r>
        <w:rPr>
          <w:rFonts w:ascii="仿宋" w:hAnsi="仿宋" w:eastAsia="仿宋"/>
          <w:sz w:val="24"/>
          <w:szCs w:val="24"/>
        </w:rPr>
        <w:t>001</w:t>
      </w:r>
      <w:r>
        <w:rPr>
          <w:rFonts w:hint="eastAsia" w:ascii="仿宋" w:hAnsi="仿宋" w:eastAsia="仿宋"/>
          <w:sz w:val="24"/>
          <w:szCs w:val="24"/>
        </w:rPr>
        <w:t>年，由弘慧基金会发起人张帆理事长与</w:t>
      </w:r>
      <w:r>
        <w:rPr>
          <w:rFonts w:ascii="仿宋" w:hAnsi="仿宋" w:eastAsia="仿宋"/>
          <w:sz w:val="24"/>
          <w:szCs w:val="24"/>
        </w:rPr>
        <w:t>5</w:t>
      </w:r>
      <w:r>
        <w:rPr>
          <w:rFonts w:hint="eastAsia" w:ascii="仿宋" w:hAnsi="仿宋" w:eastAsia="仿宋"/>
          <w:sz w:val="24"/>
          <w:szCs w:val="24"/>
        </w:rPr>
        <w:t>位沅陵一中校友，共同捐赠设立的“湖南省沅陵县第一中学赢帆奖学金”，支持因家庭贫困而读书有困难的沅陵一中高中学子。此时该项目更多关注对于贫困学生的经济支持。张帆理事长在经济支持之外，会通过书信等方式，保持和资助学生的长期交流。后期通过与首批资助学生的访谈发现，这样的长期联系和链接，对于乡村孩子融入社会起到了非常到的帮助。</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（二）从初高中支持延展到大学阶段，形成9年陪伴体系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弘慧基金会早期理事团队，一直坚持持续关注学生成长。当弘慧学子顺利进入大学后，位于北京、上海、长沙等地的理事们，会主动与在当地及周边区域就读的大学生们进行交流。2</w:t>
      </w:r>
      <w:r>
        <w:rPr>
          <w:rFonts w:ascii="仿宋" w:hAnsi="仿宋" w:eastAsia="仿宋"/>
          <w:sz w:val="24"/>
          <w:szCs w:val="24"/>
        </w:rPr>
        <w:t>012</w:t>
      </w:r>
      <w:r>
        <w:rPr>
          <w:rFonts w:hint="eastAsia" w:ascii="仿宋" w:hAnsi="仿宋" w:eastAsia="仿宋"/>
          <w:sz w:val="24"/>
          <w:szCs w:val="24"/>
        </w:rPr>
        <w:t>年，华北地区、华东地区、华中地区弘慧大学生，自发分别成立了弘慧大学生的团体：弘慧学子联谊会，分别设立华北、华中、华东三地分会。联谊会设立总会长1位，三地分会分别设立分会长。在运行上，三大分会单独推动各自分会的运作。至此，弘慧基金会对乡村孩子在大学阶段的陪伴体系正式建立。</w:t>
      </w:r>
    </w:p>
    <w:p>
      <w:pPr>
        <w:spacing w:line="360" w:lineRule="auto"/>
        <w:ind w:firstLine="482" w:firstLineChars="200"/>
        <w:rPr>
          <w:rFonts w:ascii="仿宋" w:hAnsi="仿宋" w:eastAsia="仿宋"/>
          <w:b/>
          <w:bCs/>
          <w:sz w:val="24"/>
          <w:szCs w:val="24"/>
        </w:rPr>
      </w:pPr>
    </w:p>
    <w:p>
      <w:pPr>
        <w:spacing w:line="360" w:lineRule="auto"/>
        <w:ind w:firstLine="480" w:firstLineChars="200"/>
        <w:rPr>
          <w:rFonts w:ascii="仿宋" w:hAnsi="仿宋" w:eastAsia="仿宋"/>
          <w:b/>
          <w:bCs/>
          <w:sz w:val="24"/>
          <w:szCs w:val="24"/>
        </w:rPr>
      </w:pPr>
      <w:r>
        <w:rPr>
          <w:rFonts w:hint="eastAsia" w:ascii="仿宋" w:hAnsi="仿宋" w:eastAsia="仿宋"/>
          <w:sz w:val="24"/>
          <w:szCs w:val="24"/>
        </w:rPr>
        <w:t>（三）</w:t>
      </w:r>
      <w:r>
        <w:rPr>
          <w:rFonts w:hint="eastAsia" w:ascii="仿宋" w:hAnsi="仿宋" w:eastAsia="仿宋"/>
          <w:b/>
          <w:bCs/>
          <w:sz w:val="24"/>
          <w:szCs w:val="24"/>
        </w:rPr>
        <w:t>从经济资助到关注学生日常陪伴，关注学生全面成长</w:t>
      </w:r>
    </w:p>
    <w:p>
      <w:pPr>
        <w:spacing w:line="360" w:lineRule="auto"/>
        <w:ind w:firstLine="480" w:firstLineChars="200"/>
        <w:rPr>
          <w:rFonts w:ascii="仿宋" w:hAnsi="仿宋" w:eastAsia="仿宋"/>
          <w:sz w:val="24"/>
          <w:szCs w:val="24"/>
        </w:rPr>
      </w:pPr>
      <w:r>
        <w:rPr>
          <w:rFonts w:ascii="仿宋" w:hAnsi="仿宋" w:eastAsia="仿宋"/>
          <w:sz w:val="24"/>
          <w:szCs w:val="24"/>
        </w:rPr>
        <w:t>2008</w:t>
      </w:r>
      <w:r>
        <w:rPr>
          <w:rFonts w:hint="eastAsia" w:ascii="仿宋" w:hAnsi="仿宋" w:eastAsia="仿宋"/>
          <w:sz w:val="24"/>
          <w:szCs w:val="24"/>
        </w:rPr>
        <w:t>年，弘慧基金会成立，弘慧奖学金（筑梦计划的子项目）成为基金会核心公益项目长期运行。2</w:t>
      </w:r>
      <w:r>
        <w:rPr>
          <w:rFonts w:ascii="仿宋" w:hAnsi="仿宋" w:eastAsia="仿宋"/>
          <w:sz w:val="24"/>
          <w:szCs w:val="24"/>
        </w:rPr>
        <w:t>014</w:t>
      </w:r>
      <w:r>
        <w:rPr>
          <w:rFonts w:hint="eastAsia" w:ascii="仿宋" w:hAnsi="仿宋" w:eastAsia="仿宋"/>
          <w:sz w:val="24"/>
          <w:szCs w:val="24"/>
        </w:rPr>
        <w:t>年，基金会正式提出筑梦计划，将弘慧奖助学金、夏令营、弘慧大学生支持等类项目都统一纳入对乡村孩子的陪伴方式中。</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1、捐赠人陪伴：奖学金设立之初，基金会核心理事和部分捐赠人，坚持每年春秋两季来去到乡村学校走访与家访，和学生们座谈，关注到学生的日常生活。这个活动延续发展，形成了慧行走访活动。2</w:t>
      </w:r>
      <w:r>
        <w:rPr>
          <w:rFonts w:ascii="仿宋" w:hAnsi="仿宋" w:eastAsia="仿宋"/>
          <w:sz w:val="24"/>
          <w:szCs w:val="24"/>
        </w:rPr>
        <w:t>022</w:t>
      </w:r>
      <w:r>
        <w:rPr>
          <w:rFonts w:hint="eastAsia" w:ascii="仿宋" w:hAnsi="仿宋" w:eastAsia="仿宋"/>
          <w:sz w:val="24"/>
          <w:szCs w:val="24"/>
        </w:rPr>
        <w:t>年，因为疫情影响，捐赠方走访和参与活动更加难以组织，基金会发起开展“云端茶话会”，通过线上的方式，与乡村孩子进行交流，搭建乡村孩子与社会捐赠人/志愿者的对话渠道，拓展学生们的支持网络；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2、营地陪伴：2</w:t>
      </w:r>
      <w:r>
        <w:rPr>
          <w:rFonts w:ascii="仿宋" w:hAnsi="仿宋" w:eastAsia="仿宋"/>
          <w:sz w:val="24"/>
          <w:szCs w:val="24"/>
        </w:rPr>
        <w:t>009</w:t>
      </w:r>
      <w:r>
        <w:rPr>
          <w:rFonts w:hint="eastAsia" w:ascii="仿宋" w:hAnsi="仿宋" w:eastAsia="仿宋"/>
          <w:sz w:val="24"/>
          <w:szCs w:val="24"/>
        </w:rPr>
        <w:t>年暑期，由弘慧基金会理事位核心组织者，发起面向高中弘慧学子开展“第一届弘慧暑期社会实践活动”（弘慧城市实践营），开启了每年暑假为乡村孩子组织夏令营的活动。2</w:t>
      </w:r>
      <w:r>
        <w:rPr>
          <w:rFonts w:ascii="仿宋" w:hAnsi="仿宋" w:eastAsia="仿宋"/>
          <w:sz w:val="24"/>
          <w:szCs w:val="24"/>
        </w:rPr>
        <w:t>013</w:t>
      </w:r>
      <w:r>
        <w:rPr>
          <w:rFonts w:hint="eastAsia" w:ascii="仿宋" w:hAnsi="仿宋" w:eastAsia="仿宋"/>
          <w:sz w:val="24"/>
          <w:szCs w:val="24"/>
        </w:rPr>
        <w:t>年，弘慧基金会组织面向准高三学生“弘慧圆梦北京夏令营”；2</w:t>
      </w:r>
      <w:r>
        <w:rPr>
          <w:rFonts w:ascii="仿宋" w:hAnsi="仿宋" w:eastAsia="仿宋"/>
          <w:sz w:val="24"/>
          <w:szCs w:val="24"/>
        </w:rPr>
        <w:t>014</w:t>
      </w:r>
      <w:r>
        <w:rPr>
          <w:rFonts w:hint="eastAsia" w:ascii="仿宋" w:hAnsi="仿宋" w:eastAsia="仿宋"/>
          <w:sz w:val="24"/>
          <w:szCs w:val="24"/>
        </w:rPr>
        <w:t>年，弘慧基金会组织面向新增初中弘慧学子“弘慧乡村训练营”；2</w:t>
      </w:r>
      <w:r>
        <w:rPr>
          <w:rFonts w:ascii="仿宋" w:hAnsi="仿宋" w:eastAsia="仿宋"/>
          <w:sz w:val="24"/>
          <w:szCs w:val="24"/>
        </w:rPr>
        <w:t>015</w:t>
      </w:r>
      <w:r>
        <w:rPr>
          <w:rFonts w:hint="eastAsia" w:ascii="仿宋" w:hAnsi="仿宋" w:eastAsia="仿宋"/>
          <w:sz w:val="24"/>
          <w:szCs w:val="24"/>
        </w:rPr>
        <w:t xml:space="preserve">年，基金会组织面向高中准高一弘慧班学生“弘慧挚友夏令营”。后续，4大类营地活动，形成了弘慧基金会的营地计划。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3、校友陪伴：</w:t>
      </w:r>
      <w:r>
        <w:rPr>
          <w:rFonts w:ascii="仿宋" w:hAnsi="仿宋" w:eastAsia="仿宋"/>
          <w:sz w:val="24"/>
          <w:szCs w:val="24"/>
        </w:rPr>
        <w:t>2008-2012</w:t>
      </w:r>
      <w:r>
        <w:rPr>
          <w:rFonts w:hint="eastAsia" w:ascii="仿宋" w:hAnsi="仿宋" w:eastAsia="仿宋"/>
          <w:sz w:val="24"/>
          <w:szCs w:val="24"/>
        </w:rPr>
        <w:t>年间，基金会秘书处工作人员每年寒假号召部分大学生回到高中母校，与就读的高中弘慧学子进行交流分享，开始逐步构建校友对于弘慧学生的陪伴。2</w:t>
      </w:r>
      <w:r>
        <w:rPr>
          <w:rFonts w:ascii="仿宋" w:hAnsi="仿宋" w:eastAsia="仿宋"/>
          <w:sz w:val="24"/>
          <w:szCs w:val="24"/>
        </w:rPr>
        <w:t>012</w:t>
      </w:r>
      <w:r>
        <w:rPr>
          <w:rFonts w:hint="eastAsia" w:ascii="仿宋" w:hAnsi="仿宋" w:eastAsia="仿宋"/>
          <w:sz w:val="24"/>
          <w:szCs w:val="24"/>
        </w:rPr>
        <w:t>年之后，弘联会主导将该活动发展为回母校座谈+牵手结对走访活动，其组织者，由弘慧基金会转变成弘慧大学生。2</w:t>
      </w:r>
      <w:r>
        <w:rPr>
          <w:rFonts w:ascii="仿宋" w:hAnsi="仿宋" w:eastAsia="仿宋"/>
          <w:sz w:val="24"/>
          <w:szCs w:val="24"/>
        </w:rPr>
        <w:t>017</w:t>
      </w:r>
      <w:r>
        <w:rPr>
          <w:rFonts w:hint="eastAsia" w:ascii="仿宋" w:hAnsi="仿宋" w:eastAsia="仿宋"/>
          <w:sz w:val="24"/>
          <w:szCs w:val="24"/>
        </w:rPr>
        <w:t>年， 回母校座谈+牵手结对走访活动更名为“星火计划”，成为弘联会大学生们的核心项目。</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4、辅导员陪伴：筑梦奖学金设立最初，每个学校都会设立一位辅导员，负责学生的日常管理。从2</w:t>
      </w:r>
      <w:r>
        <w:rPr>
          <w:rFonts w:ascii="仿宋" w:hAnsi="仿宋" w:eastAsia="仿宋"/>
          <w:sz w:val="24"/>
          <w:szCs w:val="24"/>
        </w:rPr>
        <w:t>008</w:t>
      </w:r>
      <w:r>
        <w:rPr>
          <w:rFonts w:hint="eastAsia" w:ascii="仿宋" w:hAnsi="仿宋" w:eastAsia="仿宋"/>
          <w:sz w:val="24"/>
          <w:szCs w:val="24"/>
        </w:rPr>
        <w:t>年-</w:t>
      </w:r>
      <w:r>
        <w:rPr>
          <w:rFonts w:ascii="仿宋" w:hAnsi="仿宋" w:eastAsia="仿宋"/>
          <w:sz w:val="24"/>
          <w:szCs w:val="24"/>
        </w:rPr>
        <w:t>2018</w:t>
      </w:r>
      <w:r>
        <w:rPr>
          <w:rFonts w:hint="eastAsia" w:ascii="仿宋" w:hAnsi="仿宋" w:eastAsia="仿宋"/>
          <w:sz w:val="24"/>
          <w:szCs w:val="24"/>
        </w:rPr>
        <w:t>年，基金会倡导筑梦辅导员每月能组织学生开展交流活动，促进学生之间的了解，加强老师对同学的关注，这个阶段的辅导员日常陪伴更多是辅导员自发开展。2</w:t>
      </w:r>
      <w:r>
        <w:rPr>
          <w:rFonts w:ascii="仿宋" w:hAnsi="仿宋" w:eastAsia="仿宋"/>
          <w:sz w:val="24"/>
          <w:szCs w:val="24"/>
        </w:rPr>
        <w:t>019-2021</w:t>
      </w:r>
      <w:r>
        <w:rPr>
          <w:rFonts w:hint="eastAsia" w:ascii="仿宋" w:hAnsi="仿宋" w:eastAsia="仿宋"/>
          <w:sz w:val="24"/>
          <w:szCs w:val="24"/>
        </w:rPr>
        <w:t>年，基金会秘书处每学期会发每月主题活动，并提供具体的执行方案参考和经费支持，号召辅导员开展，并逐步形成部分固定主题活动板块。</w:t>
      </w:r>
      <w:r>
        <w:rPr>
          <w:rFonts w:ascii="仿宋" w:hAnsi="仿宋" w:eastAsia="仿宋"/>
          <w:sz w:val="24"/>
          <w:szCs w:val="24"/>
        </w:rPr>
        <w:t>2022</w:t>
      </w:r>
      <w:r>
        <w:rPr>
          <w:rFonts w:hint="eastAsia" w:ascii="仿宋" w:hAnsi="仿宋" w:eastAsia="仿宋"/>
          <w:sz w:val="24"/>
          <w:szCs w:val="24"/>
        </w:rPr>
        <w:t>年，基于乡村孩子“三力模型”，开发了三力成长盒子，让日常陪伴活动从辅导员自主设计开展，发展内容更加聚焦，专业性更强。同时，通过三力盒子的开展，让辅导员也能感受到不一样的教育内容和形式。</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5、乡友陪伴：2</w:t>
      </w:r>
      <w:r>
        <w:rPr>
          <w:rFonts w:ascii="仿宋" w:hAnsi="仿宋" w:eastAsia="仿宋"/>
          <w:sz w:val="24"/>
          <w:szCs w:val="24"/>
        </w:rPr>
        <w:t>022</w:t>
      </w:r>
      <w:r>
        <w:rPr>
          <w:rFonts w:hint="eastAsia" w:ascii="仿宋" w:hAnsi="仿宋" w:eastAsia="仿宋"/>
          <w:sz w:val="24"/>
          <w:szCs w:val="24"/>
        </w:rPr>
        <w:t>年，基金会开始撬动本地力量参与到对乡村孩子的陪伴行动中来，先后在沅陵县、平江县建立了2个陪伴者部落，参与到对学生们的走访及日常活动开展，陪伴学生成长。</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（四）从陪伴成长到赋能成长：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弘慧基金会从2</w:t>
      </w:r>
      <w:r>
        <w:rPr>
          <w:rFonts w:ascii="仿宋" w:hAnsi="仿宋" w:eastAsia="仿宋"/>
          <w:sz w:val="24"/>
          <w:szCs w:val="24"/>
        </w:rPr>
        <w:t>008</w:t>
      </w:r>
      <w:r>
        <w:rPr>
          <w:rFonts w:hint="eastAsia" w:ascii="仿宋" w:hAnsi="仿宋" w:eastAsia="仿宋"/>
          <w:sz w:val="24"/>
          <w:szCs w:val="24"/>
        </w:rPr>
        <w:t>年成立开始，坚持的理念就是长期陪伴乡村孩子成长，所以其项目设计和优化都是结合乡村孩子在成长阶段面临的不同问题和设定的。随着初中到大学陪伴体系的建立，基金会发现乡村孩子成长中部分能力的不足。结合基金会多年乡村教育公益观察，于2</w:t>
      </w:r>
      <w:r>
        <w:rPr>
          <w:rFonts w:ascii="仿宋" w:hAnsi="仿宋" w:eastAsia="仿宋"/>
          <w:sz w:val="24"/>
          <w:szCs w:val="24"/>
        </w:rPr>
        <w:t>018</w:t>
      </w:r>
      <w:r>
        <w:rPr>
          <w:rFonts w:hint="eastAsia" w:ascii="仿宋" w:hAnsi="仿宋" w:eastAsia="仿宋"/>
          <w:sz w:val="24"/>
          <w:szCs w:val="24"/>
        </w:rPr>
        <w:t>年提炼出“乡村孩子融入未来社会的能力模型”，提炼出了</w:t>
      </w:r>
      <w:r>
        <w:rPr>
          <w:rFonts w:ascii="仿宋" w:hAnsi="仿宋" w:eastAsia="仿宋"/>
          <w:sz w:val="24"/>
          <w:szCs w:val="24"/>
        </w:rPr>
        <w:t>6</w:t>
      </w:r>
      <w:r>
        <w:rPr>
          <w:rFonts w:hint="eastAsia" w:ascii="仿宋" w:hAnsi="仿宋" w:eastAsia="仿宋"/>
          <w:sz w:val="24"/>
          <w:szCs w:val="24"/>
        </w:rPr>
        <w:t>大能力：独立生活能力、人际交往能力，自主学习能力、独立思考能力、创新应变能力、公共服务精神。结合6力的提出，弘慧基金会面向乡村孩子开展相关活动内容更加聚焦，并产出了“弘慧第一课”、“弘慧班课程”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021</w:t>
      </w:r>
      <w:r>
        <w:rPr>
          <w:rFonts w:hint="eastAsia" w:ascii="仿宋" w:hAnsi="仿宋" w:eastAsia="仿宋"/>
          <w:sz w:val="24"/>
          <w:szCs w:val="24"/>
        </w:rPr>
        <w:t>年，基金会成立乡村教育研究中心，联合湖南省教育科学院副院长赵雄辉先生提出了乡村孩子成长的“三力模型”，在</w:t>
      </w:r>
      <w:r>
        <w:rPr>
          <w:rFonts w:ascii="仿宋" w:hAnsi="仿宋" w:eastAsia="仿宋"/>
          <w:sz w:val="24"/>
          <w:szCs w:val="24"/>
        </w:rPr>
        <w:t>6</w:t>
      </w:r>
      <w:r>
        <w:rPr>
          <w:rFonts w:hint="eastAsia" w:ascii="仿宋" w:hAnsi="仿宋" w:eastAsia="仿宋"/>
          <w:sz w:val="24"/>
          <w:szCs w:val="24"/>
        </w:rPr>
        <w:t>力的基础上做了更加细致的解读和优化。</w:t>
      </w:r>
      <w:r>
        <w:rPr>
          <w:rFonts w:ascii="仿宋" w:hAnsi="仿宋" w:eastAsia="仿宋"/>
          <w:sz w:val="24"/>
          <w:szCs w:val="24"/>
        </w:rPr>
        <w:t>2022</w:t>
      </w:r>
      <w:r>
        <w:rPr>
          <w:rFonts w:hint="eastAsia" w:ascii="仿宋" w:hAnsi="仿宋" w:eastAsia="仿宋"/>
          <w:sz w:val="24"/>
          <w:szCs w:val="24"/>
        </w:rPr>
        <w:t>年，结合三力模型，基金会开发了三力成长盒子，用于初中阶段乡村孩子三力培养。至此，筑梦计划逐步研发出基于乡村孩子能力成长的三力课程体系。</w:t>
      </w:r>
    </w:p>
    <w:p>
      <w:pPr>
        <w:spacing w:line="360" w:lineRule="auto"/>
        <w:ind w:firstLine="480" w:firstLineChars="200"/>
        <w:rPr>
          <w:rFonts w:ascii="仿宋" w:hAnsi="仿宋" w:eastAsia="仿宋"/>
          <w:sz w:val="24"/>
          <w:szCs w:val="24"/>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筑梦计划运营模式：</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（一）县域内以筑梦中心为抓手，推动项目在乡村学校落地执行</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筑梦计划选择以县域为单位，通过与当地学校合作设立奖学金的方式，推动项目落地。在项目执行中，基金会在县域里自建志愿者团队“筑梦中心”，负责县域内项目的执行。筑梦中心由各学校筑梦辅导员及</w:t>
      </w:r>
      <w:r>
        <w:rPr>
          <w:rFonts w:ascii="仿宋" w:hAnsi="仿宋" w:eastAsia="仿宋"/>
          <w:sz w:val="24"/>
          <w:szCs w:val="24"/>
        </w:rPr>
        <w:t>1</w:t>
      </w:r>
      <w:r>
        <w:rPr>
          <w:rFonts w:hint="eastAsia" w:ascii="仿宋" w:hAnsi="仿宋" w:eastAsia="仿宋"/>
          <w:sz w:val="24"/>
          <w:szCs w:val="24"/>
        </w:rPr>
        <w:t>位筑梦中心主任（部分县域设有主任助理）构成。截止到2</w:t>
      </w:r>
      <w:r>
        <w:rPr>
          <w:rFonts w:ascii="仿宋" w:hAnsi="仿宋" w:eastAsia="仿宋"/>
          <w:sz w:val="24"/>
          <w:szCs w:val="24"/>
        </w:rPr>
        <w:t>022</w:t>
      </w:r>
      <w:r>
        <w:rPr>
          <w:rFonts w:hint="eastAsia" w:ascii="仿宋" w:hAnsi="仿宋" w:eastAsia="仿宋"/>
          <w:sz w:val="24"/>
          <w:szCs w:val="24"/>
        </w:rPr>
        <w:t>年1</w:t>
      </w:r>
      <w:r>
        <w:rPr>
          <w:rFonts w:ascii="仿宋" w:hAnsi="仿宋" w:eastAsia="仿宋"/>
          <w:sz w:val="24"/>
          <w:szCs w:val="24"/>
        </w:rPr>
        <w:t>2</w:t>
      </w:r>
      <w:r>
        <w:rPr>
          <w:rFonts w:hint="eastAsia" w:ascii="仿宋" w:hAnsi="仿宋" w:eastAsia="仿宋"/>
          <w:sz w:val="24"/>
          <w:szCs w:val="24"/>
        </w:rPr>
        <w:t>月，基金会共建立筑梦中心1</w:t>
      </w:r>
      <w:r>
        <w:rPr>
          <w:rFonts w:ascii="仿宋" w:hAnsi="仿宋" w:eastAsia="仿宋"/>
          <w:sz w:val="24"/>
          <w:szCs w:val="24"/>
        </w:rPr>
        <w:t>2</w:t>
      </w:r>
      <w:r>
        <w:rPr>
          <w:rFonts w:hint="eastAsia" w:ascii="仿宋" w:hAnsi="仿宋" w:eastAsia="仿宋"/>
          <w:sz w:val="24"/>
          <w:szCs w:val="24"/>
        </w:rPr>
        <w:t>个，共有筑梦辅导员1</w:t>
      </w:r>
      <w:r>
        <w:rPr>
          <w:rFonts w:ascii="仿宋" w:hAnsi="仿宋" w:eastAsia="仿宋"/>
          <w:sz w:val="24"/>
          <w:szCs w:val="24"/>
        </w:rPr>
        <w:t>91</w:t>
      </w:r>
      <w:r>
        <w:rPr>
          <w:rFonts w:hint="eastAsia" w:ascii="仿宋" w:hAnsi="仿宋" w:eastAsia="仿宋"/>
          <w:sz w:val="24"/>
          <w:szCs w:val="24"/>
        </w:rPr>
        <w:t>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1、筑梦辅导员更换频率高、任职时间短。通过对1</w:t>
      </w:r>
      <w:r>
        <w:rPr>
          <w:rFonts w:ascii="仿宋" w:hAnsi="仿宋" w:eastAsia="仿宋"/>
          <w:sz w:val="24"/>
          <w:szCs w:val="24"/>
        </w:rPr>
        <w:t>91</w:t>
      </w:r>
      <w:r>
        <w:rPr>
          <w:rFonts w:hint="eastAsia" w:ascii="仿宋" w:hAnsi="仿宋" w:eastAsia="仿宋"/>
          <w:sz w:val="24"/>
          <w:szCs w:val="24"/>
        </w:rPr>
        <w:t>位筑梦辅导员任职时长进行统计，发现任职时长2年以内的辅导员占比达到5</w:t>
      </w:r>
      <w:r>
        <w:rPr>
          <w:rFonts w:ascii="仿宋" w:hAnsi="仿宋" w:eastAsia="仿宋"/>
          <w:sz w:val="24"/>
          <w:szCs w:val="24"/>
        </w:rPr>
        <w:t>7%</w:t>
      </w:r>
      <w:r>
        <w:rPr>
          <w:rFonts w:hint="eastAsia" w:ascii="仿宋" w:hAnsi="仿宋" w:eastAsia="仿宋"/>
          <w:sz w:val="24"/>
          <w:szCs w:val="24"/>
        </w:rPr>
        <w:t>。近3年来，筑梦辅导员的更换比例成上升趋势。通过对筑梦辅导员更换原因调查，发现绝大多是因工作调动或岗位调整更换。筑梦辅导员是基金会在县域内推动项目开展的核心抓手，频繁的人员更换，对于筑梦计划工作开展，存在很大的挑战。</w:t>
      </w:r>
    </w:p>
    <w:tbl>
      <w:tblPr>
        <w:tblStyle w:val="30"/>
        <w:tblW w:w="8499" w:type="dxa"/>
        <w:jc w:val="center"/>
        <w:tblLayout w:type="autofit"/>
        <w:tblCellMar>
          <w:top w:w="0" w:type="dxa"/>
          <w:left w:w="108" w:type="dxa"/>
          <w:bottom w:w="0" w:type="dxa"/>
          <w:right w:w="108" w:type="dxa"/>
        </w:tblCellMar>
      </w:tblPr>
      <w:tblGrid>
        <w:gridCol w:w="2886"/>
        <w:gridCol w:w="2551"/>
        <w:gridCol w:w="3062"/>
      </w:tblGrid>
      <w:tr>
        <w:tblPrEx>
          <w:tblCellMar>
            <w:top w:w="0" w:type="dxa"/>
            <w:left w:w="108" w:type="dxa"/>
            <w:bottom w:w="0" w:type="dxa"/>
            <w:right w:w="108" w:type="dxa"/>
          </w:tblCellMar>
        </w:tblPrEx>
        <w:trPr>
          <w:trHeight w:val="330" w:hRule="atLeast"/>
          <w:jc w:val="center"/>
        </w:trPr>
        <w:tc>
          <w:tcPr>
            <w:tcW w:w="2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担任筑梦辅导员年限</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人数</w:t>
            </w:r>
          </w:p>
        </w:tc>
        <w:tc>
          <w:tcPr>
            <w:tcW w:w="30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占比</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69</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36.13%</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41</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21.47%</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3</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37</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19.37%</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4</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19</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9.95%</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5</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8</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4.19%</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6</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5</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2.62%</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7</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10</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5.24%</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8</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0.52%</w:t>
            </w:r>
          </w:p>
        </w:tc>
      </w:tr>
      <w:tr>
        <w:tblPrEx>
          <w:tblCellMar>
            <w:top w:w="0" w:type="dxa"/>
            <w:left w:w="108" w:type="dxa"/>
            <w:bottom w:w="0" w:type="dxa"/>
            <w:right w:w="108" w:type="dxa"/>
          </w:tblCellMar>
        </w:tblPrEx>
        <w:trPr>
          <w:trHeight w:val="214" w:hRule="atLeast"/>
          <w:jc w:val="center"/>
        </w:trPr>
        <w:tc>
          <w:tcPr>
            <w:tcW w:w="28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9</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1</w:t>
            </w:r>
          </w:p>
        </w:tc>
        <w:tc>
          <w:tcPr>
            <w:tcW w:w="30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Calibri"/>
                <w:color w:val="000000"/>
                <w:kern w:val="0"/>
                <w:szCs w:val="21"/>
              </w:rPr>
            </w:pPr>
            <w:r>
              <w:rPr>
                <w:rFonts w:ascii="仿宋" w:hAnsi="仿宋" w:eastAsia="仿宋" w:cs="Calibri"/>
                <w:color w:val="000000"/>
                <w:kern w:val="0"/>
                <w:szCs w:val="21"/>
              </w:rPr>
              <w:t>0.52%</w:t>
            </w:r>
          </w:p>
        </w:tc>
      </w:tr>
    </w:tbl>
    <w:p>
      <w:pPr>
        <w:spacing w:line="360" w:lineRule="auto"/>
        <w:jc w:val="center"/>
        <w:rPr>
          <w:rFonts w:ascii="仿宋" w:hAnsi="仿宋" w:eastAsia="仿宋"/>
          <w:b/>
          <w:bCs/>
          <w:szCs w:val="21"/>
        </w:rPr>
      </w:pPr>
      <w:r>
        <w:rPr>
          <w:rFonts w:hint="eastAsia" w:ascii="仿宋" w:hAnsi="仿宋" w:eastAsia="仿宋"/>
          <w:b/>
          <w:bCs/>
          <w:szCs w:val="21"/>
        </w:rPr>
        <w:t>筑梦辅导员任职时长</w:t>
      </w:r>
    </w:p>
    <w:tbl>
      <w:tblPr>
        <w:tblStyle w:val="30"/>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2544"/>
        <w:gridCol w:w="1187"/>
        <w:gridCol w:w="1527"/>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vMerge w:val="restart"/>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县域</w:t>
            </w:r>
          </w:p>
        </w:tc>
        <w:tc>
          <w:tcPr>
            <w:tcW w:w="2544" w:type="dxa"/>
            <w:vMerge w:val="restart"/>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2022年辅导员人数</w:t>
            </w:r>
          </w:p>
        </w:tc>
        <w:tc>
          <w:tcPr>
            <w:tcW w:w="4750" w:type="dxa"/>
            <w:gridSpan w:val="3"/>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筑梦辅导员更换比例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vMerge w:val="continue"/>
            <w:vAlign w:val="center"/>
          </w:tcPr>
          <w:p>
            <w:pPr>
              <w:widowControl/>
              <w:jc w:val="left"/>
              <w:rPr>
                <w:rFonts w:ascii="仿宋" w:hAnsi="仿宋" w:eastAsia="仿宋" w:cs="宋体"/>
                <w:kern w:val="0"/>
                <w:sz w:val="22"/>
                <w:szCs w:val="22"/>
              </w:rPr>
            </w:pPr>
          </w:p>
        </w:tc>
        <w:tc>
          <w:tcPr>
            <w:tcW w:w="2544" w:type="dxa"/>
            <w:vMerge w:val="continue"/>
            <w:vAlign w:val="center"/>
          </w:tcPr>
          <w:p>
            <w:pPr>
              <w:widowControl/>
              <w:jc w:val="left"/>
              <w:rPr>
                <w:rFonts w:ascii="仿宋" w:hAnsi="仿宋" w:eastAsia="仿宋" w:cs="宋体"/>
                <w:kern w:val="0"/>
                <w:sz w:val="22"/>
                <w:szCs w:val="22"/>
              </w:rPr>
            </w:pPr>
          </w:p>
        </w:tc>
        <w:tc>
          <w:tcPr>
            <w:tcW w:w="118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2020年</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2021年</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鼎城</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118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兴义</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18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石门</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33.33%</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平江</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21.43%</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26.67%</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桃源</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42.86%</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28.57%</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溆浦</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22</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22.22%</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安乡</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50%</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沅陵</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42</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20.51%</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26.83%</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阳原</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118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　/</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桑植</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28</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22.73%</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37.50%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永顺</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20%</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株洲</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50%</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通道</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20%</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0.00%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蓝山</w:t>
            </w:r>
          </w:p>
        </w:tc>
        <w:tc>
          <w:tcPr>
            <w:tcW w:w="2544" w:type="dxa"/>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7.14%</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23.08%</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182"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小计</w:t>
            </w:r>
          </w:p>
        </w:tc>
        <w:tc>
          <w:tcPr>
            <w:tcW w:w="2544"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w:t>
            </w:r>
          </w:p>
        </w:tc>
        <w:tc>
          <w:tcPr>
            <w:tcW w:w="1187" w:type="dxa"/>
            <w:shd w:val="clear" w:color="000000" w:fill="FFFFFF"/>
            <w:vAlign w:val="center"/>
          </w:tcPr>
          <w:p>
            <w:pPr>
              <w:widowControl/>
              <w:jc w:val="center"/>
              <w:rPr>
                <w:rFonts w:ascii="仿宋" w:hAnsi="仿宋" w:eastAsia="仿宋" w:cs="宋体"/>
                <w:kern w:val="0"/>
                <w:sz w:val="20"/>
              </w:rPr>
            </w:pPr>
            <w:r>
              <w:rPr>
                <w:rFonts w:hint="eastAsia" w:ascii="仿宋" w:hAnsi="仿宋" w:eastAsia="仿宋" w:cs="宋体"/>
                <w:kern w:val="0"/>
                <w:sz w:val="20"/>
              </w:rPr>
              <w:t>22.78%</w:t>
            </w:r>
          </w:p>
        </w:tc>
        <w:tc>
          <w:tcPr>
            <w:tcW w:w="1527"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19.90%</w:t>
            </w:r>
          </w:p>
        </w:tc>
        <w:tc>
          <w:tcPr>
            <w:tcW w:w="2035" w:type="dxa"/>
            <w:shd w:val="clear" w:color="000000" w:fill="FFFFFF"/>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27.23%</w:t>
            </w:r>
          </w:p>
        </w:tc>
      </w:tr>
    </w:tbl>
    <w:p>
      <w:pPr>
        <w:spacing w:line="360" w:lineRule="auto"/>
        <w:jc w:val="center"/>
        <w:rPr>
          <w:rFonts w:ascii="仿宋" w:hAnsi="仿宋" w:eastAsia="仿宋"/>
          <w:b/>
          <w:bCs/>
          <w:sz w:val="22"/>
          <w:szCs w:val="22"/>
        </w:rPr>
      </w:pPr>
      <w:r>
        <w:rPr>
          <w:rFonts w:hint="eastAsia" w:ascii="仿宋" w:hAnsi="仿宋" w:eastAsia="仿宋"/>
          <w:b/>
          <w:bCs/>
          <w:sz w:val="22"/>
          <w:szCs w:val="22"/>
        </w:rPr>
        <w:t>近三年各县域筑梦辅导员更换比例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2、筑梦辅导员管理办法和评估体系出台，极大程度上提升了筑梦中心项目执行效果。</w:t>
      </w:r>
      <w:r>
        <w:rPr>
          <w:rFonts w:hint="eastAsia" w:ascii="仿宋" w:hAnsi="仿宋" w:eastAsia="仿宋" w:cs="仿宋"/>
          <w:bCs/>
          <w:sz w:val="24"/>
          <w:szCs w:val="24"/>
        </w:rPr>
        <w:t>2021-2022学年评估结果相较2020-2021</w:t>
      </w:r>
      <w:r>
        <w:rPr>
          <w:rFonts w:hint="eastAsia" w:ascii="仿宋" w:hAnsi="仿宋" w:eastAsia="仿宋"/>
          <w:sz w:val="24"/>
          <w:szCs w:val="24"/>
        </w:rPr>
        <w:t>学年评估结果同比提高30.82%。其中蓝山县、溆浦县、平江县和永顺县等6个县域增长率均高于平均增长率。</w:t>
      </w:r>
    </w:p>
    <w:p>
      <w:pPr>
        <w:spacing w:line="360" w:lineRule="auto"/>
        <w:ind w:firstLine="480" w:firstLineChars="200"/>
        <w:jc w:val="center"/>
        <w:rPr>
          <w:rFonts w:ascii="仿宋" w:hAnsi="仿宋" w:eastAsia="仿宋" w:cs="仿宋"/>
          <w:bCs/>
          <w:sz w:val="24"/>
          <w:szCs w:val="24"/>
        </w:rPr>
      </w:pPr>
      <w:r>
        <w:rPr>
          <w:rFonts w:ascii="仿宋" w:hAnsi="仿宋" w:eastAsia="仿宋" w:cs="仿宋"/>
          <w:bCs/>
          <w:sz w:val="24"/>
          <w:szCs w:val="24"/>
        </w:rPr>
        <w:drawing>
          <wp:inline distT="0" distB="0" distL="0" distR="0">
            <wp:extent cx="4606925" cy="2898140"/>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06925" cy="2898140"/>
                    </a:xfrm>
                    <a:prstGeom prst="rect">
                      <a:avLst/>
                    </a:prstGeom>
                    <a:noFill/>
                    <a:ln>
                      <a:noFill/>
                    </a:ln>
                  </pic:spPr>
                </pic:pic>
              </a:graphicData>
            </a:graphic>
          </wp:inline>
        </w:drawing>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（二）县域外以弘慧学子联合会为平台，陪伴大学生成长，践行公益传承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012</w:t>
      </w:r>
      <w:r>
        <w:rPr>
          <w:rFonts w:hint="eastAsia" w:ascii="仿宋" w:hAnsi="仿宋" w:eastAsia="仿宋"/>
          <w:sz w:val="24"/>
          <w:szCs w:val="24"/>
        </w:rPr>
        <w:t>年由弘慧大学生自发成立弘联会，以情感联结、自我成长和公益传承为核心理念，成为筑梦计划中非常重要的一环，构建了筑梦计划的循环体系，实现了筑梦计划倡导的助人者自主到再助人的转变。</w:t>
      </w:r>
      <w:r>
        <w:rPr>
          <w:rFonts w:hint="eastAsia" w:ascii="仿宋" w:hAnsi="仿宋" w:eastAsia="仿宋" w:cs="仿宋"/>
          <w:bCs/>
          <w:sz w:val="24"/>
          <w:szCs w:val="24"/>
          <w:lang w:bidi="ar"/>
        </w:rPr>
        <w:t>截止2022年12月，弘联会在读大学生1628人，毕业869人，共有46个弘慧之家。其中华中1350人、华东99人、华北179人。</w:t>
      </w:r>
    </w:p>
    <w:p>
      <w:pPr>
        <w:jc w:val="center"/>
        <w:rPr>
          <w:rFonts w:ascii="Times New Roman" w:hAnsi="Times New Roman"/>
          <w:szCs w:val="21"/>
          <w:lang w:bidi="ar"/>
        </w:rPr>
      </w:pPr>
      <w:r>
        <w:rPr>
          <w:rFonts w:ascii="Times New Roman" w:hAnsi="Times New Roman"/>
          <w:szCs w:val="21"/>
          <w:lang w:bidi="ar"/>
        </w:rPr>
        <w:fldChar w:fldCharType="begin"/>
      </w:r>
      <w:r>
        <w:rPr>
          <w:rFonts w:ascii="Times New Roman" w:hAnsi="Times New Roman"/>
          <w:szCs w:val="21"/>
          <w:lang w:bidi="ar"/>
        </w:rPr>
        <w:instrText xml:space="preserve">INCLUDEPICTURE \d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bf8d7252bf67686042bf32cb0ea73862643eeecc" \* MERGEFORMATINET </w:instrText>
      </w:r>
      <w:r>
        <w:rPr>
          <w:rFonts w:ascii="Times New Roman" w:hAnsi="Times New Roman"/>
          <w:szCs w:val="21"/>
          <w:lang w:bidi="ar"/>
        </w:rPr>
        <w:fldChar w:fldCharType="separate"/>
      </w:r>
      <w:r>
        <w:rPr>
          <w:rFonts w:ascii="Times New Roman" w:hAnsi="Times New Roman"/>
          <w:szCs w:val="21"/>
          <w:lang w:bidi="ar"/>
        </w:rPr>
        <w:fldChar w:fldCharType="begin"/>
      </w:r>
      <w:r>
        <w:rPr>
          <w:rFonts w:ascii="Times New Roman" w:hAnsi="Times New Roman"/>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bf8d7252bf67686042bf32cb0ea73862643eeecc" \* MERGEFORMATINET </w:instrText>
      </w:r>
      <w:r>
        <w:rPr>
          <w:rFonts w:ascii="Times New Roman" w:hAnsi="Times New Roman"/>
          <w:szCs w:val="21"/>
          <w:lang w:bidi="ar"/>
        </w:rPr>
        <w:fldChar w:fldCharType="separate"/>
      </w:r>
      <w:r>
        <w:rPr>
          <w:rFonts w:ascii="Times New Roman" w:hAnsi="Times New Roman"/>
          <w:szCs w:val="21"/>
          <w:lang w:bidi="ar"/>
        </w:rPr>
        <w:fldChar w:fldCharType="begin"/>
      </w:r>
      <w:r>
        <w:rPr>
          <w:rFonts w:ascii="Times New Roman" w:hAnsi="Times New Roman"/>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bf8d7252bf67686042bf32cb0ea73862643eeecc" \* MERGEFORMATINET </w:instrText>
      </w:r>
      <w:r>
        <w:rPr>
          <w:rFonts w:ascii="Times New Roman" w:hAnsi="Times New Roman"/>
          <w:szCs w:val="21"/>
          <w:lang w:bidi="ar"/>
        </w:rPr>
        <w:fldChar w:fldCharType="separate"/>
      </w:r>
      <w:r>
        <w:rPr>
          <w:rFonts w:ascii="Times New Roman" w:hAnsi="Times New Roman"/>
          <w:szCs w:val="21"/>
          <w:lang w:bidi="ar"/>
        </w:rPr>
        <w:fldChar w:fldCharType="begin"/>
      </w:r>
      <w:r>
        <w:rPr>
          <w:rFonts w:ascii="Times New Roman" w:hAnsi="Times New Roman"/>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bf8d7252bf67686042bf32cb0ea73862643eeecc" \* MERGEFORMATINET </w:instrText>
      </w:r>
      <w:r>
        <w:rPr>
          <w:rFonts w:ascii="Times New Roman" w:hAnsi="Times New Roman"/>
          <w:szCs w:val="21"/>
          <w:lang w:bidi="ar"/>
        </w:rPr>
        <w:fldChar w:fldCharType="separate"/>
      </w:r>
      <w:r>
        <w:rPr>
          <w:rFonts w:ascii="Times New Roman" w:hAnsi="Times New Roman"/>
          <w:szCs w:val="21"/>
          <w:lang w:bidi="ar"/>
        </w:rPr>
        <w:pict>
          <v:shape id="_x0000_i1025" o:spt="75" alt="IMG_260" type="#_x0000_t75" style="height:184.7pt;width:307.4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szCs w:val="21"/>
          <w:lang w:bidi="ar"/>
        </w:rPr>
        <w:fldChar w:fldCharType="end"/>
      </w:r>
      <w:r>
        <w:rPr>
          <w:rFonts w:ascii="Times New Roman" w:hAnsi="Times New Roman"/>
          <w:szCs w:val="21"/>
          <w:lang w:bidi="ar"/>
        </w:rPr>
        <w:fldChar w:fldCharType="end"/>
      </w:r>
      <w:r>
        <w:rPr>
          <w:rFonts w:ascii="Times New Roman" w:hAnsi="Times New Roman"/>
          <w:szCs w:val="21"/>
          <w:lang w:bidi="ar"/>
        </w:rPr>
        <w:fldChar w:fldCharType="end"/>
      </w:r>
      <w:r>
        <w:rPr>
          <w:rFonts w:ascii="Times New Roman" w:hAnsi="Times New Roman"/>
          <w:szCs w:val="21"/>
          <w:lang w:bidi="ar"/>
        </w:rPr>
        <w:fldChar w:fldCharType="end"/>
      </w:r>
    </w:p>
    <w:p>
      <w:pPr>
        <w:jc w:val="center"/>
        <w:rPr>
          <w:rFonts w:ascii="仿宋" w:hAnsi="仿宋" w:eastAsia="仿宋"/>
          <w:b/>
          <w:bCs/>
          <w:szCs w:val="21"/>
          <w:lang w:bidi="ar"/>
        </w:rPr>
      </w:pPr>
      <w:r>
        <w:rPr>
          <w:rFonts w:hint="eastAsia" w:ascii="仿宋" w:hAnsi="仿宋" w:eastAsia="仿宋"/>
          <w:b/>
          <w:bCs/>
          <w:szCs w:val="21"/>
          <w:lang w:bidi="ar"/>
        </w:rPr>
        <w:t>弘联会大学生近3年数据分布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弘联会是在基金会的指导下，采用自主运行的方式开展各类活动。弘联会是基金会链接弘慧大学生的核心平台，弘慧大学生也是基金会最主要的志愿者来源。</w:t>
      </w:r>
    </w:p>
    <w:p>
      <w:pPr>
        <w:jc w:val="center"/>
        <w:rPr>
          <w:rFonts w:ascii="仿宋" w:hAnsi="仿宋" w:eastAsia="仿宋"/>
          <w:sz w:val="24"/>
          <w:szCs w:val="24"/>
        </w:rPr>
      </w:pPr>
      <w:r>
        <w:rPr>
          <w:szCs w:val="21"/>
          <w:lang w:bidi="ar"/>
        </w:rPr>
        <w:fldChar w:fldCharType="begin"/>
      </w:r>
      <w:r>
        <w:rPr>
          <w:szCs w:val="21"/>
          <w:lang w:bidi="ar"/>
        </w:rPr>
        <w:instrText xml:space="preserve">INCLUDEPICTURE \d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f10af85642f6d3b95075f943c3c0e5e71f3dec03" \* MERGEFORMATINET </w:instrText>
      </w:r>
      <w:r>
        <w:rPr>
          <w:szCs w:val="21"/>
          <w:lang w:bidi="ar"/>
        </w:rPr>
        <w:fldChar w:fldCharType="separate"/>
      </w:r>
      <w:r>
        <w:rPr>
          <w:szCs w:val="21"/>
          <w:lang w:bidi="ar"/>
        </w:rPr>
        <w:fldChar w:fldCharType="begin"/>
      </w:r>
      <w:r>
        <w:rPr>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f10af85642f6d3b95075f943c3c0e5e71f3dec03" \* MERGEFORMATINET </w:instrText>
      </w:r>
      <w:r>
        <w:rPr>
          <w:szCs w:val="21"/>
          <w:lang w:bidi="ar"/>
        </w:rPr>
        <w:fldChar w:fldCharType="separate"/>
      </w:r>
      <w:r>
        <w:rPr>
          <w:szCs w:val="21"/>
          <w:lang w:bidi="ar"/>
        </w:rPr>
        <w:fldChar w:fldCharType="begin"/>
      </w:r>
      <w:r>
        <w:rPr>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f10af85642f6d3b95075f943c3c0e5e71f3dec03" \* MERGEFORMATINET </w:instrText>
      </w:r>
      <w:r>
        <w:rPr>
          <w:szCs w:val="21"/>
          <w:lang w:bidi="ar"/>
        </w:rPr>
        <w:fldChar w:fldCharType="separate"/>
      </w:r>
      <w:r>
        <w:rPr>
          <w:szCs w:val="21"/>
          <w:lang w:bidi="ar"/>
        </w:rPr>
        <w:fldChar w:fldCharType="begin"/>
      </w:r>
      <w:r>
        <w:rPr>
          <w:szCs w:val="21"/>
          <w:lang w:bidi="ar"/>
        </w:rPr>
        <w:instrText xml:space="preserve"> INCLUDEPICTURE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f10af85642f6d3b95075f943c3c0e5e71f3dec03" \* MERGEFORMATINET </w:instrText>
      </w:r>
      <w:r>
        <w:rPr>
          <w:szCs w:val="21"/>
          <w:lang w:bidi="ar"/>
        </w:rPr>
        <w:fldChar w:fldCharType="separate"/>
      </w:r>
      <w:r>
        <w:rPr>
          <w:szCs w:val="21"/>
          <w:lang w:bidi="ar"/>
        </w:rPr>
        <w:pict>
          <v:shape id="_x0000_i1026" o:spt="75" alt="IMG_256" type="#_x0000_t75" style="height:238.55pt;width:424.5pt;" filled="f" o:preferrelative="t" stroked="f" coordsize="21600,21600">
            <v:path/>
            <v:fill on="f" focussize="0,0"/>
            <v:stroke on="f" joinstyle="miter"/>
            <v:imagedata r:id="rId9" r:href="rId10" o:title=""/>
            <o:lock v:ext="edit" aspectratio="t"/>
            <w10:wrap type="none"/>
            <w10:anchorlock/>
          </v:shape>
        </w:pict>
      </w:r>
      <w:r>
        <w:rPr>
          <w:szCs w:val="21"/>
          <w:lang w:bidi="ar"/>
        </w:rPr>
        <w:fldChar w:fldCharType="end"/>
      </w:r>
      <w:r>
        <w:rPr>
          <w:szCs w:val="21"/>
          <w:lang w:bidi="ar"/>
        </w:rPr>
        <w:fldChar w:fldCharType="end"/>
      </w:r>
      <w:r>
        <w:rPr>
          <w:szCs w:val="21"/>
          <w:lang w:bidi="ar"/>
        </w:rPr>
        <w:fldChar w:fldCharType="end"/>
      </w:r>
      <w:r>
        <w:rPr>
          <w:szCs w:val="21"/>
          <w:lang w:bidi="ar"/>
        </w:rPr>
        <w:fldChar w:fldCharType="end"/>
      </w:r>
    </w:p>
    <w:p>
      <w:pPr>
        <w:jc w:val="center"/>
        <w:rPr>
          <w:rFonts w:ascii="仿宋" w:hAnsi="仿宋" w:eastAsia="仿宋" w:cs="仿宋"/>
          <w:b/>
          <w:bCs/>
          <w:szCs w:val="21"/>
          <w:lang w:bidi="ar"/>
        </w:rPr>
      </w:pPr>
      <w:r>
        <w:rPr>
          <w:rFonts w:ascii="仿宋" w:hAnsi="仿宋" w:eastAsia="仿宋" w:cs="仿宋"/>
          <w:b/>
          <w:bCs/>
          <w:szCs w:val="21"/>
          <w:lang w:bidi="ar"/>
        </w:rPr>
        <w:t>弘联会陪伴体系</w:t>
      </w:r>
    </w:p>
    <w:p>
      <w:pPr>
        <w:jc w:val="center"/>
        <w:rPr>
          <w:rFonts w:ascii="仿宋" w:hAnsi="仿宋" w:eastAsia="仿宋"/>
          <w:b/>
          <w:bCs/>
          <w:sz w:val="24"/>
          <w:szCs w:val="24"/>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筑梦计划发展现状：</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（一）筑梦计划合作学校分布：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022</w:t>
      </w:r>
      <w:r>
        <w:rPr>
          <w:rFonts w:hint="eastAsia" w:ascii="仿宋" w:hAnsi="仿宋" w:eastAsia="仿宋"/>
          <w:sz w:val="24"/>
          <w:szCs w:val="24"/>
        </w:rPr>
        <w:t>年筑梦计划共计在1</w:t>
      </w:r>
      <w:r>
        <w:rPr>
          <w:rFonts w:ascii="仿宋" w:hAnsi="仿宋" w:eastAsia="仿宋"/>
          <w:sz w:val="24"/>
          <w:szCs w:val="24"/>
        </w:rPr>
        <w:t>4</w:t>
      </w:r>
      <w:r>
        <w:rPr>
          <w:rFonts w:hint="eastAsia" w:ascii="仿宋" w:hAnsi="仿宋" w:eastAsia="仿宋"/>
          <w:sz w:val="24"/>
          <w:szCs w:val="24"/>
        </w:rPr>
        <w:t>个省1</w:t>
      </w:r>
      <w:r>
        <w:rPr>
          <w:rFonts w:ascii="仿宋" w:hAnsi="仿宋" w:eastAsia="仿宋"/>
          <w:sz w:val="24"/>
          <w:szCs w:val="24"/>
        </w:rPr>
        <w:t>50</w:t>
      </w:r>
      <w:r>
        <w:rPr>
          <w:rFonts w:hint="eastAsia" w:ascii="仿宋" w:hAnsi="仿宋" w:eastAsia="仿宋"/>
          <w:sz w:val="24"/>
          <w:szCs w:val="24"/>
        </w:rPr>
        <w:t>所学校开展，其核心开展县域为湖南省1</w:t>
      </w:r>
      <w:r>
        <w:rPr>
          <w:rFonts w:ascii="仿宋" w:hAnsi="仿宋" w:eastAsia="仿宋"/>
          <w:sz w:val="24"/>
          <w:szCs w:val="24"/>
        </w:rPr>
        <w:t>0</w:t>
      </w:r>
      <w:r>
        <w:rPr>
          <w:rFonts w:hint="eastAsia" w:ascii="仿宋" w:hAnsi="仿宋" w:eastAsia="仿宋"/>
          <w:sz w:val="24"/>
          <w:szCs w:val="24"/>
        </w:rPr>
        <w:t>个县域，各个县域进入时间及覆盖率见下图：</w:t>
      </w:r>
    </w:p>
    <w:tbl>
      <w:tblPr>
        <w:tblStyle w:val="30"/>
        <w:tblW w:w="8577" w:type="dxa"/>
        <w:jc w:val="center"/>
        <w:tblLayout w:type="autofit"/>
        <w:tblCellMar>
          <w:top w:w="0" w:type="dxa"/>
          <w:left w:w="108" w:type="dxa"/>
          <w:bottom w:w="0" w:type="dxa"/>
          <w:right w:w="108" w:type="dxa"/>
        </w:tblCellMar>
      </w:tblPr>
      <w:tblGrid>
        <w:gridCol w:w="638"/>
        <w:gridCol w:w="1058"/>
        <w:gridCol w:w="993"/>
        <w:gridCol w:w="1134"/>
        <w:gridCol w:w="1134"/>
        <w:gridCol w:w="708"/>
        <w:gridCol w:w="1560"/>
        <w:gridCol w:w="1352"/>
      </w:tblGrid>
      <w:tr>
        <w:tblPrEx>
          <w:tblCellMar>
            <w:top w:w="0" w:type="dxa"/>
            <w:left w:w="108" w:type="dxa"/>
            <w:bottom w:w="0" w:type="dxa"/>
            <w:right w:w="108" w:type="dxa"/>
          </w:tblCellMar>
        </w:tblPrEx>
        <w:trPr>
          <w:trHeight w:val="319" w:hRule="atLeast"/>
          <w:jc w:val="center"/>
        </w:trPr>
        <w:tc>
          <w:tcPr>
            <w:tcW w:w="638" w:type="dxa"/>
            <w:vMerge w:val="restart"/>
            <w:tcBorders>
              <w:top w:val="single" w:color="2B2B2B" w:sz="4" w:space="0"/>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序号</w:t>
            </w:r>
          </w:p>
        </w:tc>
        <w:tc>
          <w:tcPr>
            <w:tcW w:w="1058" w:type="dxa"/>
            <w:vMerge w:val="restart"/>
            <w:tcBorders>
              <w:top w:val="single" w:color="2B2B2B" w:sz="4" w:space="0"/>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县域</w:t>
            </w:r>
          </w:p>
        </w:tc>
        <w:tc>
          <w:tcPr>
            <w:tcW w:w="993" w:type="dxa"/>
            <w:vMerge w:val="restart"/>
            <w:tcBorders>
              <w:top w:val="single" w:color="2B2B2B" w:sz="4" w:space="0"/>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hint="eastAsia" w:ascii="仿宋" w:hAnsi="仿宋" w:eastAsia="仿宋" w:cs="Arial"/>
                <w:color w:val="000000"/>
                <w:kern w:val="0"/>
                <w:szCs w:val="21"/>
              </w:rPr>
              <w:t>开始合作时间</w:t>
            </w:r>
          </w:p>
        </w:tc>
        <w:tc>
          <w:tcPr>
            <w:tcW w:w="5888" w:type="dxa"/>
            <w:gridSpan w:val="5"/>
            <w:tcBorders>
              <w:top w:val="single" w:color="2B2B2B" w:sz="4" w:space="0"/>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长期合作学校</w:t>
            </w:r>
          </w:p>
        </w:tc>
      </w:tr>
      <w:tr>
        <w:tblPrEx>
          <w:tblCellMar>
            <w:top w:w="0" w:type="dxa"/>
            <w:left w:w="108" w:type="dxa"/>
            <w:bottom w:w="0" w:type="dxa"/>
            <w:right w:w="108" w:type="dxa"/>
          </w:tblCellMar>
        </w:tblPrEx>
        <w:trPr>
          <w:trHeight w:val="408" w:hRule="atLeast"/>
          <w:jc w:val="center"/>
        </w:trPr>
        <w:tc>
          <w:tcPr>
            <w:tcW w:w="638" w:type="dxa"/>
            <w:vMerge w:val="continue"/>
            <w:tcBorders>
              <w:top w:val="single" w:color="2B2B2B" w:sz="4" w:space="0"/>
              <w:left w:val="single" w:color="2B2B2B" w:sz="4" w:space="0"/>
              <w:bottom w:val="single" w:color="2B2B2B" w:sz="4" w:space="0"/>
              <w:right w:val="single" w:color="2B2B2B" w:sz="4" w:space="0"/>
            </w:tcBorders>
            <w:vAlign w:val="center"/>
          </w:tcPr>
          <w:p>
            <w:pPr>
              <w:widowControl/>
              <w:jc w:val="left"/>
              <w:rPr>
                <w:rFonts w:ascii="仿宋" w:hAnsi="仿宋" w:eastAsia="仿宋" w:cs="Arial"/>
                <w:color w:val="000000"/>
                <w:kern w:val="0"/>
                <w:szCs w:val="21"/>
              </w:rPr>
            </w:pPr>
          </w:p>
        </w:tc>
        <w:tc>
          <w:tcPr>
            <w:tcW w:w="1058" w:type="dxa"/>
            <w:vMerge w:val="continue"/>
            <w:tcBorders>
              <w:top w:val="single" w:color="2B2B2B" w:sz="4" w:space="0"/>
              <w:left w:val="single" w:color="2B2B2B" w:sz="4" w:space="0"/>
              <w:bottom w:val="single" w:color="2B2B2B" w:sz="4" w:space="0"/>
              <w:right w:val="single" w:color="2B2B2B" w:sz="4" w:space="0"/>
            </w:tcBorders>
            <w:vAlign w:val="center"/>
          </w:tcPr>
          <w:p>
            <w:pPr>
              <w:widowControl/>
              <w:jc w:val="left"/>
              <w:rPr>
                <w:rFonts w:ascii="仿宋" w:hAnsi="仿宋" w:eastAsia="仿宋" w:cs="Arial"/>
                <w:color w:val="000000"/>
                <w:kern w:val="0"/>
                <w:szCs w:val="21"/>
              </w:rPr>
            </w:pPr>
          </w:p>
        </w:tc>
        <w:tc>
          <w:tcPr>
            <w:tcW w:w="993" w:type="dxa"/>
            <w:vMerge w:val="continue"/>
            <w:tcBorders>
              <w:top w:val="single" w:color="2B2B2B" w:sz="4" w:space="0"/>
              <w:left w:val="single" w:color="2B2B2B" w:sz="4" w:space="0"/>
              <w:bottom w:val="single" w:color="2B2B2B" w:sz="4" w:space="0"/>
              <w:right w:val="single" w:color="2B2B2B" w:sz="4" w:space="0"/>
            </w:tcBorders>
            <w:vAlign w:val="center"/>
          </w:tcPr>
          <w:p>
            <w:pPr>
              <w:widowControl/>
              <w:jc w:val="left"/>
              <w:rPr>
                <w:rFonts w:ascii="仿宋" w:hAnsi="仿宋" w:eastAsia="仿宋" w:cs="Arial"/>
                <w:color w:val="000000"/>
                <w:kern w:val="0"/>
                <w:szCs w:val="21"/>
              </w:rPr>
            </w:pP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hint="eastAsia" w:ascii="仿宋" w:hAnsi="仿宋" w:eastAsia="仿宋" w:cs="Arial"/>
                <w:color w:val="000000"/>
                <w:kern w:val="0"/>
                <w:szCs w:val="21"/>
              </w:rPr>
              <w:t>初中</w:t>
            </w:r>
            <w:r>
              <w:rPr>
                <w:rFonts w:ascii="仿宋" w:hAnsi="仿宋" w:eastAsia="仿宋" w:cs="Arial"/>
                <w:color w:val="000000"/>
                <w:kern w:val="0"/>
                <w:szCs w:val="21"/>
              </w:rPr>
              <w:t>学校</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高中学校</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小计</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县域</w:t>
            </w:r>
            <w:r>
              <w:rPr>
                <w:rFonts w:hint="eastAsia" w:ascii="仿宋" w:hAnsi="仿宋" w:eastAsia="仿宋" w:cs="Arial"/>
                <w:color w:val="000000"/>
                <w:kern w:val="0"/>
                <w:szCs w:val="21"/>
              </w:rPr>
              <w:t>中学</w:t>
            </w:r>
            <w:r>
              <w:rPr>
                <w:rFonts w:ascii="仿宋" w:hAnsi="仿宋" w:eastAsia="仿宋" w:cs="Arial"/>
                <w:color w:val="000000"/>
                <w:kern w:val="0"/>
                <w:szCs w:val="21"/>
              </w:rPr>
              <w:t>总数</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县域覆盖率</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沅陵县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2001</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31</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35</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47</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74.47%</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桃源县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2009</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50</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12.00%</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通道县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2009</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7</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8</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12</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66.67%</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溆浦县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2008</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18</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19</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56</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33.93%</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5</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石门县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2011</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7</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26</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26.92%</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蓝山县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2013</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12</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13</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29</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44.83%</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7</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桑植县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2014</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21</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22</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36</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61.11%</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8</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安乡县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2015</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9</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10</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26</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38.46%</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9</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永顺县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2017</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11</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37</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29.73%</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10</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株洲县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2018</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11</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平江县</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2020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9</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10</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41</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24.39%</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12</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贵州兴义</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2020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13</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河北阳原</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2020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3</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4</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14</w:t>
            </w:r>
          </w:p>
        </w:tc>
        <w:tc>
          <w:tcPr>
            <w:tcW w:w="105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常德鼎城</w:t>
            </w:r>
          </w:p>
        </w:tc>
        <w:tc>
          <w:tcPr>
            <w:tcW w:w="993"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2021</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0</w:t>
            </w:r>
          </w:p>
        </w:tc>
        <w:tc>
          <w:tcPr>
            <w:tcW w:w="1134"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708"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1</w:t>
            </w:r>
          </w:p>
        </w:tc>
        <w:tc>
          <w:tcPr>
            <w:tcW w:w="1560"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c>
          <w:tcPr>
            <w:tcW w:w="1352" w:type="dxa"/>
            <w:tcBorders>
              <w:top w:val="nil"/>
              <w:left w:val="nil"/>
              <w:bottom w:val="single" w:color="2B2B2B" w:sz="4" w:space="0"/>
              <w:right w:val="single" w:color="2B2B2B" w:sz="4" w:space="0"/>
            </w:tcBorders>
            <w:shd w:val="clear" w:color="auto" w:fill="auto"/>
            <w:vAlign w:val="center"/>
          </w:tcPr>
          <w:p>
            <w:pPr>
              <w:widowControl/>
              <w:jc w:val="center"/>
              <w:rPr>
                <w:rFonts w:ascii="仿宋" w:hAnsi="仿宋" w:eastAsia="仿宋" w:cs="Arial"/>
                <w:color w:val="000000"/>
                <w:kern w:val="0"/>
                <w:szCs w:val="21"/>
              </w:rPr>
            </w:pPr>
            <w:r>
              <w:rPr>
                <w:rFonts w:ascii="仿宋" w:hAnsi="仿宋" w:eastAsia="仿宋" w:cs="Arial"/>
                <w:color w:val="000000"/>
                <w:kern w:val="0"/>
                <w:szCs w:val="21"/>
              </w:rPr>
              <w:t>　</w:t>
            </w:r>
          </w:p>
        </w:tc>
      </w:tr>
      <w:tr>
        <w:tblPrEx>
          <w:tblCellMar>
            <w:top w:w="0" w:type="dxa"/>
            <w:left w:w="108" w:type="dxa"/>
            <w:bottom w:w="0" w:type="dxa"/>
            <w:right w:w="108" w:type="dxa"/>
          </w:tblCellMar>
        </w:tblPrEx>
        <w:trPr>
          <w:trHeight w:val="319" w:hRule="atLeast"/>
          <w:jc w:val="center"/>
        </w:trPr>
        <w:tc>
          <w:tcPr>
            <w:tcW w:w="638" w:type="dxa"/>
            <w:tcBorders>
              <w:top w:val="nil"/>
              <w:left w:val="single" w:color="2B2B2B" w:sz="4" w:space="0"/>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58"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993"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134"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130</w:t>
            </w:r>
          </w:p>
        </w:tc>
        <w:tc>
          <w:tcPr>
            <w:tcW w:w="1134"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708"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150</w:t>
            </w:r>
          </w:p>
        </w:tc>
        <w:tc>
          <w:tcPr>
            <w:tcW w:w="1560"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360</w:t>
            </w:r>
          </w:p>
        </w:tc>
        <w:tc>
          <w:tcPr>
            <w:tcW w:w="1352" w:type="dxa"/>
            <w:tcBorders>
              <w:top w:val="nil"/>
              <w:left w:val="nil"/>
              <w:bottom w:val="single" w:color="2B2B2B" w:sz="4" w:space="0"/>
              <w:right w:val="single" w:color="2B2B2B"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spacing w:line="360" w:lineRule="auto"/>
        <w:jc w:val="center"/>
        <w:rPr>
          <w:rFonts w:ascii="仿宋" w:hAnsi="仿宋" w:eastAsia="仿宋"/>
          <w:b/>
          <w:bCs/>
          <w:szCs w:val="21"/>
        </w:rPr>
      </w:pPr>
      <w:r>
        <w:rPr>
          <w:rFonts w:hint="eastAsia" w:ascii="仿宋" w:hAnsi="仿宋" w:eastAsia="仿宋"/>
          <w:b/>
          <w:bCs/>
          <w:szCs w:val="21"/>
        </w:rPr>
        <w:t>筑梦计划在个县域合作学校分布图及比例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从表格中可见，筑梦计划在各个县域的发展，呈现出不均衡的现象。其中在沅陵县、桑植县、通道县的覆盖率均已经超过了6</w:t>
      </w:r>
      <w:r>
        <w:rPr>
          <w:rFonts w:ascii="仿宋" w:hAnsi="仿宋" w:eastAsia="仿宋"/>
          <w:sz w:val="24"/>
          <w:szCs w:val="24"/>
        </w:rPr>
        <w:t>0%</w:t>
      </w:r>
      <w:r>
        <w:rPr>
          <w:rFonts w:hint="eastAsia" w:ascii="仿宋" w:hAnsi="仿宋" w:eastAsia="仿宋"/>
          <w:sz w:val="24"/>
          <w:szCs w:val="24"/>
        </w:rPr>
        <w:t>，尤其是沅陵县已经达到7</w:t>
      </w:r>
      <w:r>
        <w:rPr>
          <w:rFonts w:ascii="仿宋" w:hAnsi="仿宋" w:eastAsia="仿宋"/>
          <w:sz w:val="24"/>
          <w:szCs w:val="24"/>
        </w:rPr>
        <w:t>0%</w:t>
      </w:r>
      <w:r>
        <w:rPr>
          <w:rFonts w:hint="eastAsia" w:ascii="仿宋" w:hAnsi="仿宋" w:eastAsia="仿宋"/>
          <w:sz w:val="24"/>
          <w:szCs w:val="24"/>
        </w:rPr>
        <w:t>。地区发展的不均衡，主要原因为组织战略选择。在早期筑梦计划发展规划中，更多依托于基金会理事的意见和资源。但随着基金会的发展，筑梦计划后期的发展规划，会重点关注县域本身的贫困程度，当地教育主管部门的认可和支持力度等各方面的因素。</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（二）筑梦计划支持学生地域及学年段分布情况：</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截止到2</w:t>
      </w:r>
      <w:r>
        <w:rPr>
          <w:rFonts w:ascii="仿宋" w:hAnsi="仿宋" w:eastAsia="仿宋"/>
          <w:sz w:val="24"/>
          <w:szCs w:val="24"/>
        </w:rPr>
        <w:t>022</w:t>
      </w:r>
      <w:r>
        <w:rPr>
          <w:rFonts w:hint="eastAsia" w:ascii="仿宋" w:hAnsi="仿宋" w:eastAsia="仿宋"/>
          <w:sz w:val="24"/>
          <w:szCs w:val="24"/>
        </w:rPr>
        <w:t>年1</w:t>
      </w:r>
      <w:r>
        <w:rPr>
          <w:rFonts w:ascii="仿宋" w:hAnsi="仿宋" w:eastAsia="仿宋"/>
          <w:sz w:val="24"/>
          <w:szCs w:val="24"/>
        </w:rPr>
        <w:t>2</w:t>
      </w:r>
      <w:r>
        <w:rPr>
          <w:rFonts w:hint="eastAsia" w:ascii="仿宋" w:hAnsi="仿宋" w:eastAsia="仿宋"/>
          <w:sz w:val="24"/>
          <w:szCs w:val="24"/>
        </w:rPr>
        <w:t>月，筑梦计划共计支持乡村学子6</w:t>
      </w:r>
      <w:r>
        <w:rPr>
          <w:rFonts w:ascii="仿宋" w:hAnsi="仿宋" w:eastAsia="仿宋"/>
          <w:sz w:val="24"/>
          <w:szCs w:val="24"/>
        </w:rPr>
        <w:t>040</w:t>
      </w:r>
      <w:r>
        <w:rPr>
          <w:rFonts w:hint="eastAsia" w:ascii="仿宋" w:hAnsi="仿宋" w:eastAsia="仿宋"/>
          <w:sz w:val="24"/>
          <w:szCs w:val="24"/>
        </w:rPr>
        <w:t>人，其中在2</w:t>
      </w:r>
      <w:r>
        <w:rPr>
          <w:rFonts w:ascii="仿宋" w:hAnsi="仿宋" w:eastAsia="仿宋"/>
          <w:sz w:val="24"/>
          <w:szCs w:val="24"/>
        </w:rPr>
        <w:t>618</w:t>
      </w:r>
      <w:r>
        <w:rPr>
          <w:rFonts w:hint="eastAsia" w:ascii="仿宋" w:hAnsi="仿宋" w:eastAsia="仿宋"/>
          <w:sz w:val="24"/>
          <w:szCs w:val="24"/>
        </w:rPr>
        <w:t>位学生考入大学生（其中正在读大学生1</w:t>
      </w:r>
      <w:r>
        <w:rPr>
          <w:rFonts w:ascii="仿宋" w:hAnsi="仿宋" w:eastAsia="仿宋"/>
          <w:sz w:val="24"/>
          <w:szCs w:val="24"/>
        </w:rPr>
        <w:t>628</w:t>
      </w:r>
      <w:r>
        <w:rPr>
          <w:rFonts w:hint="eastAsia" w:ascii="仿宋" w:hAnsi="仿宋" w:eastAsia="仿宋"/>
          <w:sz w:val="24"/>
          <w:szCs w:val="24"/>
        </w:rPr>
        <w:t>人，毕业8</w:t>
      </w:r>
      <w:r>
        <w:rPr>
          <w:rFonts w:ascii="仿宋" w:hAnsi="仿宋" w:eastAsia="仿宋"/>
          <w:sz w:val="24"/>
          <w:szCs w:val="24"/>
        </w:rPr>
        <w:t>69</w:t>
      </w:r>
      <w:r>
        <w:rPr>
          <w:rFonts w:hint="eastAsia" w:ascii="仿宋" w:hAnsi="仿宋" w:eastAsia="仿宋"/>
          <w:sz w:val="24"/>
          <w:szCs w:val="24"/>
        </w:rPr>
        <w:t>人）。弘慧学子学年段和地域分布如下：</w:t>
      </w:r>
    </w:p>
    <w:tbl>
      <w:tblPr>
        <w:tblStyle w:val="30"/>
        <w:tblW w:w="7836" w:type="dxa"/>
        <w:jc w:val="center"/>
        <w:tblLayout w:type="autofit"/>
        <w:tblCellMar>
          <w:top w:w="0" w:type="dxa"/>
          <w:left w:w="108" w:type="dxa"/>
          <w:bottom w:w="0" w:type="dxa"/>
          <w:right w:w="108" w:type="dxa"/>
        </w:tblCellMar>
      </w:tblPr>
      <w:tblGrid>
        <w:gridCol w:w="1306"/>
        <w:gridCol w:w="1306"/>
        <w:gridCol w:w="1306"/>
        <w:gridCol w:w="1306"/>
        <w:gridCol w:w="1306"/>
        <w:gridCol w:w="1306"/>
      </w:tblGrid>
      <w:tr>
        <w:tblPrEx>
          <w:tblCellMar>
            <w:top w:w="0" w:type="dxa"/>
            <w:left w:w="108" w:type="dxa"/>
            <w:bottom w:w="0" w:type="dxa"/>
            <w:right w:w="108" w:type="dxa"/>
          </w:tblCellMar>
        </w:tblPrEx>
        <w:trPr>
          <w:trHeight w:val="254" w:hRule="atLeast"/>
          <w:jc w:val="center"/>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小学</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初中</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高中</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大学</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毕业</w:t>
            </w:r>
          </w:p>
        </w:tc>
        <w:tc>
          <w:tcPr>
            <w:tcW w:w="1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rPr>
            </w:pPr>
            <w:r>
              <w:rPr>
                <w:rFonts w:hint="eastAsia" w:ascii="仿宋" w:hAnsi="仿宋" w:eastAsia="仿宋" w:cs="宋体"/>
                <w:b/>
                <w:bCs/>
                <w:kern w:val="0"/>
                <w:sz w:val="20"/>
              </w:rPr>
              <w:t>男女比例</w:t>
            </w:r>
          </w:p>
        </w:tc>
      </w:tr>
      <w:tr>
        <w:tblPrEx>
          <w:tblCellMar>
            <w:top w:w="0" w:type="dxa"/>
            <w:left w:w="108" w:type="dxa"/>
            <w:bottom w:w="0" w:type="dxa"/>
            <w:right w:w="108" w:type="dxa"/>
          </w:tblCellMar>
        </w:tblPrEx>
        <w:trPr>
          <w:trHeight w:val="254" w:hRule="atLeast"/>
          <w:jc w:val="center"/>
        </w:trPr>
        <w:tc>
          <w:tcPr>
            <w:tcW w:w="13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hint="eastAsia" w:ascii="仿宋" w:hAnsi="仿宋" w:eastAsia="仿宋" w:cs="宋体"/>
                <w:kern w:val="0"/>
                <w:sz w:val="20"/>
              </w:rPr>
              <w:t>10</w:t>
            </w:r>
          </w:p>
        </w:tc>
        <w:tc>
          <w:tcPr>
            <w:tcW w:w="1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hint="eastAsia" w:ascii="仿宋" w:hAnsi="仿宋" w:eastAsia="仿宋" w:cs="宋体"/>
                <w:kern w:val="0"/>
                <w:sz w:val="20"/>
              </w:rPr>
              <w:t>1279</w:t>
            </w:r>
          </w:p>
        </w:tc>
        <w:tc>
          <w:tcPr>
            <w:tcW w:w="1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hint="eastAsia" w:ascii="仿宋" w:hAnsi="仿宋" w:eastAsia="仿宋" w:cs="宋体"/>
                <w:kern w:val="0"/>
                <w:sz w:val="20"/>
              </w:rPr>
              <w:t>1854</w:t>
            </w:r>
          </w:p>
        </w:tc>
        <w:tc>
          <w:tcPr>
            <w:tcW w:w="1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hint="eastAsia" w:ascii="仿宋" w:hAnsi="仿宋" w:eastAsia="仿宋" w:cs="宋体"/>
                <w:kern w:val="0"/>
                <w:sz w:val="20"/>
              </w:rPr>
              <w:t>1624</w:t>
            </w:r>
          </w:p>
        </w:tc>
        <w:tc>
          <w:tcPr>
            <w:tcW w:w="1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ascii="仿宋" w:hAnsi="仿宋" w:eastAsia="仿宋" w:cs="宋体"/>
                <w:kern w:val="0"/>
                <w:sz w:val="20"/>
              </w:rPr>
              <w:t>869</w:t>
            </w:r>
          </w:p>
        </w:tc>
        <w:tc>
          <w:tcPr>
            <w:tcW w:w="1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rPr>
            </w:pPr>
            <w:r>
              <w:rPr>
                <w:rFonts w:hint="eastAsia" w:ascii="仿宋" w:hAnsi="仿宋" w:eastAsia="仿宋" w:cs="宋体"/>
                <w:kern w:val="0"/>
                <w:sz w:val="20"/>
              </w:rPr>
              <w:t>1:2</w:t>
            </w:r>
          </w:p>
        </w:tc>
      </w:tr>
    </w:tbl>
    <w:p>
      <w:pPr>
        <w:jc w:val="center"/>
        <w:rPr>
          <w:rFonts w:ascii="仿宋" w:hAnsi="仿宋" w:eastAsia="仿宋"/>
          <w:b/>
          <w:bCs/>
          <w:sz w:val="24"/>
          <w:szCs w:val="22"/>
        </w:rPr>
      </w:pPr>
      <w:r>
        <w:rPr>
          <w:rFonts w:hint="eastAsia" w:ascii="仿宋" w:hAnsi="仿宋" w:eastAsia="仿宋"/>
          <w:b/>
          <w:bCs/>
        </w:rPr>
        <w:t>弘慧学子学年段及性别分布</w:t>
      </w:r>
    </w:p>
    <w:p>
      <w:pPr>
        <w:jc w:val="center"/>
        <w:rPr>
          <w:rFonts w:ascii="仿宋" w:hAnsi="仿宋" w:eastAsia="仿宋"/>
        </w:rPr>
      </w:pPr>
      <w:r>
        <w:rPr>
          <w:rFonts w:ascii="仿宋" w:hAnsi="仿宋" w:eastAsia="仿宋"/>
          <w:sz w:val="20"/>
          <w:szCs w:val="18"/>
        </w:rPr>
        <w:drawing>
          <wp:inline distT="0" distB="0" distL="0" distR="0">
            <wp:extent cx="4888230" cy="2868930"/>
            <wp:effectExtent l="0" t="0" r="762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仿宋" w:hAnsi="仿宋" w:eastAsia="仿宋"/>
          <w:b/>
          <w:bCs/>
        </w:rPr>
      </w:pPr>
      <w:r>
        <w:rPr>
          <w:rFonts w:hint="eastAsia" w:ascii="仿宋" w:hAnsi="仿宋" w:eastAsia="仿宋"/>
          <w:b/>
          <w:bCs/>
        </w:rPr>
        <w:t>弘慧学子县域分布比例</w:t>
      </w:r>
    </w:p>
    <w:p>
      <w:pPr>
        <w:jc w:val="center"/>
        <w:rPr>
          <w:rFonts w:ascii="仿宋" w:hAnsi="仿宋" w:eastAsia="仿宋"/>
          <w:b/>
          <w:bCs/>
          <w:sz w:val="8"/>
          <w:szCs w:val="6"/>
        </w:rPr>
      </w:pPr>
    </w:p>
    <w:tbl>
      <w:tblPr>
        <w:tblStyle w:val="30"/>
        <w:tblW w:w="8380" w:type="dxa"/>
        <w:jc w:val="center"/>
        <w:tblLayout w:type="autofit"/>
        <w:tblCellMar>
          <w:top w:w="0" w:type="dxa"/>
          <w:left w:w="108" w:type="dxa"/>
          <w:bottom w:w="0" w:type="dxa"/>
          <w:right w:w="108" w:type="dxa"/>
        </w:tblCellMar>
      </w:tblPr>
      <w:tblGrid>
        <w:gridCol w:w="970"/>
        <w:gridCol w:w="1530"/>
        <w:gridCol w:w="277"/>
        <w:gridCol w:w="1113"/>
        <w:gridCol w:w="1574"/>
        <w:gridCol w:w="235"/>
        <w:gridCol w:w="1252"/>
        <w:gridCol w:w="1429"/>
      </w:tblGrid>
      <w:tr>
        <w:tblPrEx>
          <w:tblCellMar>
            <w:top w:w="0" w:type="dxa"/>
            <w:left w:w="108" w:type="dxa"/>
            <w:bottom w:w="0" w:type="dxa"/>
            <w:right w:w="108" w:type="dxa"/>
          </w:tblCellMar>
        </w:tblPrEx>
        <w:trPr>
          <w:trHeight w:val="360" w:hRule="atLeast"/>
          <w:jc w:val="center"/>
        </w:trPr>
        <w:tc>
          <w:tcPr>
            <w:tcW w:w="9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县域</w:t>
            </w:r>
          </w:p>
        </w:tc>
        <w:tc>
          <w:tcPr>
            <w:tcW w:w="15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弘慧学子人数</w:t>
            </w:r>
          </w:p>
        </w:tc>
        <w:tc>
          <w:tcPr>
            <w:tcW w:w="2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　</w:t>
            </w:r>
          </w:p>
        </w:tc>
        <w:tc>
          <w:tcPr>
            <w:tcW w:w="11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县域</w:t>
            </w:r>
          </w:p>
        </w:tc>
        <w:tc>
          <w:tcPr>
            <w:tcW w:w="15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弘慧学子人数</w:t>
            </w:r>
          </w:p>
        </w:tc>
        <w:tc>
          <w:tcPr>
            <w:tcW w:w="2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2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县域</w:t>
            </w:r>
          </w:p>
        </w:tc>
        <w:tc>
          <w:tcPr>
            <w:tcW w:w="14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弘慧学子人数</w:t>
            </w:r>
          </w:p>
        </w:tc>
      </w:tr>
      <w:tr>
        <w:tblPrEx>
          <w:tblCellMar>
            <w:top w:w="0" w:type="dxa"/>
            <w:left w:w="108" w:type="dxa"/>
            <w:bottom w:w="0" w:type="dxa"/>
            <w:right w:w="108" w:type="dxa"/>
          </w:tblCellMar>
        </w:tblPrEx>
        <w:trPr>
          <w:trHeight w:val="360" w:hRule="atLeast"/>
          <w:jc w:val="center"/>
        </w:trPr>
        <w:tc>
          <w:tcPr>
            <w:tcW w:w="9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沅陵县</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1942</w:t>
            </w: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1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桃源县</w:t>
            </w:r>
          </w:p>
        </w:tc>
        <w:tc>
          <w:tcPr>
            <w:tcW w:w="15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315</w:t>
            </w:r>
          </w:p>
        </w:tc>
        <w:tc>
          <w:tcPr>
            <w:tcW w:w="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株洲县</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80</w:t>
            </w:r>
          </w:p>
        </w:tc>
      </w:tr>
      <w:tr>
        <w:tblPrEx>
          <w:tblCellMar>
            <w:top w:w="0" w:type="dxa"/>
            <w:left w:w="108" w:type="dxa"/>
            <w:bottom w:w="0" w:type="dxa"/>
            <w:right w:w="108" w:type="dxa"/>
          </w:tblCellMar>
        </w:tblPrEx>
        <w:trPr>
          <w:trHeight w:val="360" w:hRule="atLeast"/>
          <w:jc w:val="center"/>
        </w:trPr>
        <w:tc>
          <w:tcPr>
            <w:tcW w:w="9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溆浦县</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735</w:t>
            </w: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1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安乡县</w:t>
            </w:r>
          </w:p>
        </w:tc>
        <w:tc>
          <w:tcPr>
            <w:tcW w:w="15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293</w:t>
            </w:r>
          </w:p>
        </w:tc>
        <w:tc>
          <w:tcPr>
            <w:tcW w:w="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阳原县</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71</w:t>
            </w:r>
          </w:p>
        </w:tc>
      </w:tr>
      <w:tr>
        <w:tblPrEx>
          <w:tblCellMar>
            <w:top w:w="0" w:type="dxa"/>
            <w:left w:w="108" w:type="dxa"/>
            <w:bottom w:w="0" w:type="dxa"/>
            <w:right w:w="108" w:type="dxa"/>
          </w:tblCellMar>
        </w:tblPrEx>
        <w:trPr>
          <w:trHeight w:val="360" w:hRule="atLeast"/>
          <w:jc w:val="center"/>
        </w:trPr>
        <w:tc>
          <w:tcPr>
            <w:tcW w:w="9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桑植县</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646</w:t>
            </w: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1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蓝山县</w:t>
            </w:r>
          </w:p>
        </w:tc>
        <w:tc>
          <w:tcPr>
            <w:tcW w:w="15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257</w:t>
            </w:r>
          </w:p>
        </w:tc>
        <w:tc>
          <w:tcPr>
            <w:tcW w:w="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兴义八中</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50</w:t>
            </w:r>
          </w:p>
        </w:tc>
      </w:tr>
      <w:tr>
        <w:tblPrEx>
          <w:tblCellMar>
            <w:top w:w="0" w:type="dxa"/>
            <w:left w:w="108" w:type="dxa"/>
            <w:bottom w:w="0" w:type="dxa"/>
            <w:right w:w="108" w:type="dxa"/>
          </w:tblCellMar>
        </w:tblPrEx>
        <w:trPr>
          <w:trHeight w:val="360" w:hRule="atLeast"/>
          <w:jc w:val="center"/>
        </w:trPr>
        <w:tc>
          <w:tcPr>
            <w:tcW w:w="9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通道县</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468</w:t>
            </w: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1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石门县</w:t>
            </w:r>
          </w:p>
        </w:tc>
        <w:tc>
          <w:tcPr>
            <w:tcW w:w="15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240</w:t>
            </w:r>
          </w:p>
        </w:tc>
        <w:tc>
          <w:tcPr>
            <w:tcW w:w="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鼎城一中</w:t>
            </w:r>
          </w:p>
        </w:tc>
        <w:tc>
          <w:tcPr>
            <w:tcW w:w="14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28</w:t>
            </w:r>
          </w:p>
        </w:tc>
      </w:tr>
      <w:tr>
        <w:tblPrEx>
          <w:tblCellMar>
            <w:top w:w="0" w:type="dxa"/>
            <w:left w:w="108" w:type="dxa"/>
            <w:bottom w:w="0" w:type="dxa"/>
            <w:right w:w="108" w:type="dxa"/>
          </w:tblCellMar>
        </w:tblPrEx>
        <w:trPr>
          <w:trHeight w:val="360" w:hRule="atLeast"/>
          <w:jc w:val="center"/>
        </w:trPr>
        <w:tc>
          <w:tcPr>
            <w:tcW w:w="9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永顺县</w:t>
            </w:r>
          </w:p>
        </w:tc>
        <w:tc>
          <w:tcPr>
            <w:tcW w:w="153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359</w:t>
            </w:r>
          </w:p>
        </w:tc>
        <w:tc>
          <w:tcPr>
            <w:tcW w:w="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rPr>
            </w:pPr>
          </w:p>
        </w:tc>
        <w:tc>
          <w:tcPr>
            <w:tcW w:w="111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平江县</w:t>
            </w:r>
          </w:p>
        </w:tc>
        <w:tc>
          <w:tcPr>
            <w:tcW w:w="157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rPr>
            </w:pPr>
            <w:r>
              <w:rPr>
                <w:rFonts w:hint="eastAsia" w:ascii="仿宋" w:hAnsi="仿宋" w:eastAsia="仿宋" w:cs="宋体"/>
                <w:color w:val="000000"/>
                <w:kern w:val="0"/>
                <w:sz w:val="20"/>
              </w:rPr>
              <w:t>111</w:t>
            </w:r>
          </w:p>
        </w:tc>
        <w:tc>
          <w:tcPr>
            <w:tcW w:w="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2"/>
                <w:szCs w:val="22"/>
              </w:rPr>
            </w:pPr>
          </w:p>
        </w:tc>
        <w:tc>
          <w:tcPr>
            <w:tcW w:w="12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c>
          <w:tcPr>
            <w:tcW w:w="14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　</w:t>
            </w:r>
          </w:p>
        </w:tc>
      </w:tr>
    </w:tbl>
    <w:p>
      <w:pPr>
        <w:spacing w:line="360" w:lineRule="auto"/>
        <w:jc w:val="center"/>
        <w:rPr>
          <w:rFonts w:ascii="仿宋" w:hAnsi="仿宋" w:eastAsia="仿宋"/>
          <w:szCs w:val="21"/>
        </w:rPr>
      </w:pPr>
      <w:r>
        <w:rPr>
          <w:rFonts w:hint="eastAsia" w:ascii="仿宋" w:hAnsi="仿宋" w:eastAsia="仿宋"/>
          <w:b/>
          <w:bCs/>
        </w:rPr>
        <w:t>弘慧学子县域人数分布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以上数据可见，筑梦计划支持的乡村孩子存在以下特点：女生占绝大多数，是男生的2倍。学生在地域分布上，存在地域差异明显，其中沅陵县占据了整体学生总量的3</w:t>
      </w:r>
      <w:r>
        <w:rPr>
          <w:rFonts w:ascii="仿宋" w:hAnsi="仿宋" w:eastAsia="仿宋"/>
          <w:sz w:val="24"/>
          <w:szCs w:val="24"/>
        </w:rPr>
        <w:t>5%</w:t>
      </w:r>
      <w:r>
        <w:rPr>
          <w:rFonts w:hint="eastAsia" w:ascii="仿宋" w:hAnsi="仿宋" w:eastAsia="仿宋"/>
          <w:sz w:val="24"/>
          <w:szCs w:val="24"/>
        </w:rPr>
        <w:t>，其次是溆浦县和桑植县。</w:t>
      </w:r>
    </w:p>
    <w:p>
      <w:pPr>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（三）筑梦计划支持学生升学及流失情况：</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1、初升高流失率：随着项目的不断发展，绝大部分县域成下滑状态，但县域之间差异性较大。</w:t>
      </w:r>
    </w:p>
    <w:tbl>
      <w:tblPr>
        <w:tblStyle w:val="30"/>
        <w:tblW w:w="8566" w:type="dxa"/>
        <w:jc w:val="center"/>
        <w:tblLayout w:type="autofit"/>
        <w:tblCellMar>
          <w:top w:w="0" w:type="dxa"/>
          <w:left w:w="108" w:type="dxa"/>
          <w:bottom w:w="0" w:type="dxa"/>
          <w:right w:w="108" w:type="dxa"/>
        </w:tblCellMar>
      </w:tblPr>
      <w:tblGrid>
        <w:gridCol w:w="1779"/>
        <w:gridCol w:w="2010"/>
        <w:gridCol w:w="2306"/>
        <w:gridCol w:w="2471"/>
      </w:tblGrid>
      <w:tr>
        <w:tblPrEx>
          <w:tblCellMar>
            <w:top w:w="0" w:type="dxa"/>
            <w:left w:w="108" w:type="dxa"/>
            <w:bottom w:w="0" w:type="dxa"/>
            <w:right w:w="108" w:type="dxa"/>
          </w:tblCellMar>
        </w:tblPrEx>
        <w:trPr>
          <w:trHeight w:val="240" w:hRule="atLeast"/>
          <w:jc w:val="center"/>
        </w:trPr>
        <w:tc>
          <w:tcPr>
            <w:tcW w:w="17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县域</w:t>
            </w:r>
          </w:p>
        </w:tc>
        <w:tc>
          <w:tcPr>
            <w:tcW w:w="2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20</w:t>
            </w:r>
            <w:r>
              <w:rPr>
                <w:rFonts w:ascii="仿宋" w:hAnsi="仿宋" w:eastAsia="仿宋" w:cs="宋体"/>
                <w:b/>
                <w:bCs/>
                <w:kern w:val="0"/>
                <w:szCs w:val="21"/>
              </w:rPr>
              <w:t>20</w:t>
            </w:r>
            <w:r>
              <w:rPr>
                <w:rFonts w:hint="eastAsia" w:ascii="仿宋" w:hAnsi="仿宋" w:eastAsia="仿宋" w:cs="宋体"/>
                <w:b/>
                <w:bCs/>
                <w:kern w:val="0"/>
                <w:szCs w:val="21"/>
              </w:rPr>
              <w:t>年流失率</w:t>
            </w:r>
          </w:p>
        </w:tc>
        <w:tc>
          <w:tcPr>
            <w:tcW w:w="23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2</w:t>
            </w:r>
            <w:r>
              <w:rPr>
                <w:rFonts w:ascii="仿宋" w:hAnsi="仿宋" w:eastAsia="仿宋" w:cs="宋体"/>
                <w:b/>
                <w:bCs/>
                <w:kern w:val="0"/>
                <w:szCs w:val="21"/>
              </w:rPr>
              <w:t>021</w:t>
            </w:r>
            <w:r>
              <w:rPr>
                <w:rFonts w:hint="eastAsia" w:ascii="仿宋" w:hAnsi="仿宋" w:eastAsia="仿宋" w:cs="宋体"/>
                <w:b/>
                <w:bCs/>
                <w:kern w:val="0"/>
                <w:szCs w:val="21"/>
              </w:rPr>
              <w:t>年流失率</w:t>
            </w:r>
          </w:p>
        </w:tc>
        <w:tc>
          <w:tcPr>
            <w:tcW w:w="247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2</w:t>
            </w:r>
            <w:r>
              <w:rPr>
                <w:rFonts w:ascii="仿宋" w:hAnsi="仿宋" w:eastAsia="仿宋" w:cs="宋体"/>
                <w:b/>
                <w:bCs/>
                <w:kern w:val="0"/>
                <w:szCs w:val="21"/>
              </w:rPr>
              <w:t>022</w:t>
            </w:r>
            <w:r>
              <w:rPr>
                <w:rFonts w:hint="eastAsia" w:ascii="仿宋" w:hAnsi="仿宋" w:eastAsia="仿宋" w:cs="宋体"/>
                <w:b/>
                <w:bCs/>
                <w:kern w:val="0"/>
                <w:szCs w:val="21"/>
              </w:rPr>
              <w:t>年流失率</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蓝山</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56.52%</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62.50%</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55.17%</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平江</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37.50%</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41.67%</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石门</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28.57%</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33.33%</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30.43%</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桑植</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36.00%</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25.61%</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30.30%</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阳原</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　</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31.58%</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26.67%</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安乡</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32.43%</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27.27%</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26.32%</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溆浦</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23.46%</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10.00%</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9.57%</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永顺</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37.78%</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23.64%</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4.69%</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通道</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14.26%</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2.27%</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3.85%</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沅陵</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23.91%</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7.69%</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2.55%</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桃源</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57.89%</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45.00%</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0.00%</w:t>
            </w:r>
          </w:p>
        </w:tc>
      </w:tr>
      <w:tr>
        <w:tblPrEx>
          <w:tblCellMar>
            <w:top w:w="0" w:type="dxa"/>
            <w:left w:w="108" w:type="dxa"/>
            <w:bottom w:w="0" w:type="dxa"/>
            <w:right w:w="108" w:type="dxa"/>
          </w:tblCellMar>
        </w:tblPrEx>
        <w:trPr>
          <w:trHeight w:val="240" w:hRule="atLeast"/>
          <w:jc w:val="center"/>
        </w:trPr>
        <w:tc>
          <w:tcPr>
            <w:tcW w:w="17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合计</w:t>
            </w:r>
          </w:p>
        </w:tc>
        <w:tc>
          <w:tcPr>
            <w:tcW w:w="20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27.40%</w:t>
            </w:r>
          </w:p>
        </w:tc>
        <w:tc>
          <w:tcPr>
            <w:tcW w:w="230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22.97%</w:t>
            </w:r>
          </w:p>
        </w:tc>
        <w:tc>
          <w:tcPr>
            <w:tcW w:w="247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17.82%</w:t>
            </w:r>
          </w:p>
        </w:tc>
      </w:tr>
    </w:tbl>
    <w:p>
      <w:pPr>
        <w:spacing w:line="360" w:lineRule="auto"/>
        <w:jc w:val="center"/>
        <w:rPr>
          <w:rFonts w:ascii="仿宋" w:hAnsi="仿宋" w:eastAsia="仿宋" w:cs="宋体"/>
          <w:b/>
          <w:szCs w:val="21"/>
          <w:lang w:bidi="ar"/>
        </w:rPr>
      </w:pPr>
      <w:r>
        <w:rPr>
          <w:rFonts w:hint="eastAsia" w:ascii="仿宋" w:hAnsi="仿宋" w:eastAsia="仿宋" w:cs="宋体"/>
          <w:b/>
          <w:szCs w:val="21"/>
          <w:lang w:bidi="ar"/>
        </w:rPr>
        <w:t>近三年弘慧学子初升高流失率</w:t>
      </w:r>
    </w:p>
    <w:p>
      <w:pPr>
        <w:spacing w:line="360" w:lineRule="auto"/>
        <w:ind w:firstLine="490"/>
        <w:rPr>
          <w:rFonts w:ascii="仿宋" w:hAnsi="仿宋" w:eastAsia="仿宋" w:cs="宋体"/>
          <w:bCs/>
          <w:sz w:val="24"/>
          <w:szCs w:val="24"/>
          <w:lang w:bidi="ar"/>
        </w:rPr>
      </w:pPr>
      <w:r>
        <w:rPr>
          <w:rFonts w:hint="eastAsia" w:ascii="仿宋" w:hAnsi="仿宋" w:eastAsia="仿宋" w:cs="宋体"/>
          <w:bCs/>
          <w:sz w:val="24"/>
          <w:szCs w:val="24"/>
          <w:lang w:bidi="ar"/>
        </w:rPr>
        <w:t>近三年来，各县域流失率成2级分化，第一梯队：蓝山、平江、石门、桑植、阳原、安乡6大县域则高于2</w:t>
      </w:r>
      <w:r>
        <w:rPr>
          <w:rFonts w:ascii="仿宋" w:hAnsi="仿宋" w:eastAsia="仿宋" w:cs="宋体"/>
          <w:bCs/>
          <w:sz w:val="24"/>
          <w:szCs w:val="24"/>
          <w:lang w:bidi="ar"/>
        </w:rPr>
        <w:t>5%</w:t>
      </w:r>
      <w:r>
        <w:rPr>
          <w:rFonts w:hint="eastAsia" w:ascii="仿宋" w:hAnsi="仿宋" w:eastAsia="仿宋" w:cs="宋体"/>
          <w:bCs/>
          <w:sz w:val="24"/>
          <w:szCs w:val="24"/>
          <w:lang w:bidi="ar"/>
        </w:rPr>
        <w:t>，其中蓝山县持续三年超过了5</w:t>
      </w:r>
      <w:r>
        <w:rPr>
          <w:rFonts w:ascii="仿宋" w:hAnsi="仿宋" w:eastAsia="仿宋" w:cs="宋体"/>
          <w:bCs/>
          <w:sz w:val="24"/>
          <w:szCs w:val="24"/>
          <w:lang w:bidi="ar"/>
        </w:rPr>
        <w:t>5%</w:t>
      </w:r>
      <w:r>
        <w:rPr>
          <w:rFonts w:hint="eastAsia" w:ascii="仿宋" w:hAnsi="仿宋" w:eastAsia="仿宋" w:cs="宋体"/>
          <w:bCs/>
          <w:sz w:val="24"/>
          <w:szCs w:val="24"/>
          <w:lang w:bidi="ar"/>
        </w:rPr>
        <w:t>。而第二梯队溆浦、永顺、通道、沅陵、桃源5大县域则低于1</w:t>
      </w:r>
      <w:r>
        <w:rPr>
          <w:rFonts w:ascii="仿宋" w:hAnsi="仿宋" w:eastAsia="仿宋" w:cs="宋体"/>
          <w:bCs/>
          <w:sz w:val="24"/>
          <w:szCs w:val="24"/>
          <w:lang w:bidi="ar"/>
        </w:rPr>
        <w:t>0%</w:t>
      </w:r>
      <w:r>
        <w:rPr>
          <w:rFonts w:hint="eastAsia" w:ascii="仿宋" w:hAnsi="仿宋" w:eastAsia="仿宋" w:cs="宋体"/>
          <w:bCs/>
          <w:sz w:val="24"/>
          <w:szCs w:val="24"/>
          <w:lang w:bidi="ar"/>
        </w:rPr>
        <w:t>。主要原因为：</w:t>
      </w:r>
    </w:p>
    <w:p>
      <w:pPr>
        <w:spacing w:line="360" w:lineRule="auto"/>
        <w:ind w:firstLine="490"/>
        <w:rPr>
          <w:rFonts w:ascii="仿宋" w:hAnsi="仿宋" w:eastAsia="仿宋" w:cs="宋体"/>
          <w:bCs/>
          <w:sz w:val="24"/>
          <w:szCs w:val="24"/>
          <w:lang w:bidi="ar"/>
        </w:rPr>
      </w:pPr>
      <w:r>
        <w:rPr>
          <w:rFonts w:hint="eastAsia" w:ascii="仿宋" w:hAnsi="仿宋" w:eastAsia="仿宋" w:cs="宋体"/>
          <w:bCs/>
          <w:sz w:val="24"/>
          <w:szCs w:val="24"/>
          <w:lang w:bidi="ar"/>
        </w:rPr>
        <w:t>（1）高中合作学校扩增：第一梯队在高中阶段的合作学校，只有当地唯一一所省重点高中，弘慧学子如考入其他高中学校，则暂停支持。第二梯队学校，大部分县域在高中阶段合作学校涉及到了县域其他市级或县级高中。</w:t>
      </w:r>
    </w:p>
    <w:p>
      <w:pPr>
        <w:spacing w:line="360" w:lineRule="auto"/>
        <w:ind w:firstLine="490"/>
        <w:rPr>
          <w:rFonts w:ascii="仿宋" w:hAnsi="仿宋" w:eastAsia="仿宋" w:cs="宋体"/>
          <w:bCs/>
          <w:sz w:val="24"/>
          <w:szCs w:val="24"/>
          <w:lang w:bidi="ar"/>
        </w:rPr>
      </w:pPr>
      <w:r>
        <w:rPr>
          <w:rFonts w:hint="eastAsia" w:ascii="仿宋" w:hAnsi="仿宋" w:eastAsia="仿宋" w:cs="宋体"/>
          <w:bCs/>
          <w:sz w:val="24"/>
          <w:szCs w:val="24"/>
          <w:lang w:bidi="ar"/>
        </w:rPr>
        <w:t>（2）县域教育水平差异，高中学校录取分数高低不一致：与当地合作学校高中的录取分数相关，如通道县当地虽然只有一所合作高中，但因为高中学校录取分数相对其他县域高中要低很多，故此学生能考入的比例也比较高。</w:t>
      </w:r>
    </w:p>
    <w:p>
      <w:pPr>
        <w:spacing w:line="360" w:lineRule="auto"/>
        <w:ind w:firstLine="490"/>
        <w:rPr>
          <w:rFonts w:ascii="仿宋" w:hAnsi="仿宋" w:eastAsia="仿宋" w:cs="宋体"/>
          <w:bCs/>
          <w:sz w:val="24"/>
          <w:szCs w:val="24"/>
          <w:lang w:bidi="ar"/>
        </w:rPr>
      </w:pPr>
      <w:r>
        <w:rPr>
          <w:rFonts w:hint="eastAsia" w:ascii="仿宋" w:hAnsi="仿宋" w:eastAsia="仿宋" w:cs="宋体"/>
          <w:bCs/>
          <w:sz w:val="24"/>
          <w:szCs w:val="24"/>
          <w:lang w:bidi="ar"/>
        </w:rPr>
        <w:t>2、弘慧学子高考升学率：在新高考出台之前，随着资助人数增加，高考本科升学率逐年降低；</w:t>
      </w:r>
      <w:r>
        <w:rPr>
          <w:rFonts w:hint="eastAsia" w:ascii="仿宋" w:hAnsi="仿宋" w:eastAsia="仿宋"/>
          <w:sz w:val="24"/>
          <w:szCs w:val="24"/>
        </w:rPr>
        <w:t>湖南实施新高考政策之后，弘慧学子本科上线比例较之前有了更进一步的提高。</w:t>
      </w:r>
    </w:p>
    <w:p>
      <w:pPr>
        <w:spacing w:line="360" w:lineRule="auto"/>
        <w:jc w:val="center"/>
        <w:rPr>
          <w:rFonts w:ascii="仿宋" w:hAnsi="仿宋" w:eastAsia="仿宋"/>
          <w:szCs w:val="21"/>
          <w:lang w:bidi="ar"/>
        </w:rPr>
      </w:pPr>
      <w:r>
        <w:rPr>
          <w:rFonts w:ascii="仿宋" w:hAnsi="仿宋" w:eastAsia="仿宋"/>
        </w:rPr>
        <w:drawing>
          <wp:inline distT="0" distB="0" distL="0" distR="0">
            <wp:extent cx="4572000" cy="1290320"/>
            <wp:effectExtent l="0" t="0" r="0"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仿宋" w:hAnsi="仿宋" w:eastAsia="仿宋"/>
          <w:szCs w:val="21"/>
          <w:lang w:bidi="ar"/>
        </w:rPr>
        <w:fldChar w:fldCharType="begin"/>
      </w:r>
      <w:r>
        <w:rPr>
          <w:rFonts w:ascii="仿宋" w:hAnsi="仿宋" w:eastAsia="仿宋"/>
          <w:szCs w:val="21"/>
          <w:lang w:bidi="ar"/>
        </w:rPr>
        <w:instrText xml:space="preserve">INCLUDEPICTURE \d "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1acb57016e285f9c0d95d89f805faf7f5ceca947" \* MERGEFORMATINET </w:instrText>
      </w:r>
      <w:r>
        <w:rPr>
          <w:rFonts w:ascii="仿宋" w:hAnsi="仿宋" w:eastAsia="仿宋"/>
          <w:szCs w:val="21"/>
          <w:lang w:bidi="ar"/>
        </w:rPr>
        <w:fldChar w:fldCharType="separate"/>
      </w:r>
      <w:r>
        <w:rPr>
          <w:rFonts w:ascii="仿宋" w:hAnsi="仿宋" w:eastAsia="仿宋"/>
          <w:szCs w:val="21"/>
          <w:lang w:bidi="ar"/>
        </w:rPr>
        <w:fldChar w:fldCharType="end"/>
      </w:r>
    </w:p>
    <w:p>
      <w:pPr>
        <w:pStyle w:val="27"/>
        <w:widowControl w:val="0"/>
        <w:autoSpaceDE w:val="0"/>
        <w:spacing w:before="156" w:beforeLines="50" w:beforeAutospacing="0" w:after="0" w:afterAutospacing="0"/>
        <w:jc w:val="center"/>
        <w:rPr>
          <w:rFonts w:ascii="仿宋" w:hAnsi="仿宋" w:eastAsia="仿宋" w:cs="仿宋"/>
          <w:b/>
          <w:bCs/>
          <w:kern w:val="2"/>
          <w:sz w:val="21"/>
          <w:szCs w:val="21"/>
          <w:lang w:bidi="ar"/>
        </w:rPr>
      </w:pPr>
      <w:r>
        <w:rPr>
          <w:rFonts w:hint="eastAsia" w:ascii="仿宋" w:hAnsi="仿宋" w:eastAsia="仿宋" w:cs="仿宋"/>
          <w:b/>
          <w:bCs/>
          <w:kern w:val="2"/>
          <w:sz w:val="21"/>
          <w:szCs w:val="21"/>
          <w:lang w:bidi="ar"/>
        </w:rPr>
        <w:t>近5年弘慧学子高考升学率</w:t>
      </w:r>
    </w:p>
    <w:p>
      <w:pPr>
        <w:pStyle w:val="27"/>
        <w:widowControl w:val="0"/>
        <w:autoSpaceDE w:val="0"/>
        <w:spacing w:before="156" w:beforeLines="50" w:beforeAutospacing="0" w:after="0" w:afterAutospacing="0" w:line="360" w:lineRule="auto"/>
        <w:rPr>
          <w:rFonts w:ascii="仿宋" w:hAnsi="仿宋" w:eastAsia="仿宋" w:cs="Times New Roman"/>
          <w:b/>
          <w:bCs/>
          <w:kern w:val="2"/>
        </w:rPr>
      </w:pPr>
    </w:p>
    <w:p>
      <w:pPr>
        <w:pStyle w:val="70"/>
        <w:numPr>
          <w:ilvl w:val="0"/>
          <w:numId w:val="2"/>
        </w:numPr>
        <w:ind w:firstLineChars="0"/>
        <w:rPr>
          <w:rFonts w:ascii="仿宋" w:hAnsi="仿宋" w:eastAsia="仿宋"/>
          <w:b/>
          <w:bCs/>
          <w:sz w:val="24"/>
          <w:szCs w:val="24"/>
        </w:rPr>
      </w:pPr>
      <w:r>
        <w:rPr>
          <w:rFonts w:hint="eastAsia" w:ascii="仿宋" w:hAnsi="仿宋" w:eastAsia="仿宋"/>
          <w:b/>
          <w:bCs/>
          <w:sz w:val="24"/>
          <w:szCs w:val="24"/>
        </w:rPr>
        <w:t>筑梦计划项目成效：</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（一）弘慧学子三力成长现状：</w:t>
      </w:r>
    </w:p>
    <w:p>
      <w:pPr>
        <w:spacing w:line="360" w:lineRule="auto"/>
        <w:ind w:firstLine="480" w:firstLineChars="200"/>
        <w:rPr>
          <w:rFonts w:ascii="仿宋" w:hAnsi="仿宋" w:eastAsia="仿宋"/>
          <w:sz w:val="24"/>
          <w:szCs w:val="24"/>
        </w:rPr>
      </w:pPr>
      <w:r>
        <w:rPr>
          <w:rFonts w:ascii="仿宋" w:hAnsi="仿宋" w:eastAsia="仿宋"/>
          <w:sz w:val="24"/>
          <w:szCs w:val="24"/>
        </w:rPr>
        <w:t>2022</w:t>
      </w:r>
      <w:r>
        <w:rPr>
          <w:rFonts w:hint="eastAsia" w:ascii="仿宋" w:hAnsi="仿宋" w:eastAsia="仿宋"/>
          <w:sz w:val="24"/>
          <w:szCs w:val="24"/>
        </w:rPr>
        <w:t>年弘慧基金会组织研究团队面向弘慧支持的中学生及大学生针对“乡村孩子三力”维度开展研究，并分别产出了乡村孩子在生活力、学习力和社会力三个维度，在中学和大学阶段的不同表现。相关数据和结论如下：</w:t>
      </w:r>
    </w:p>
    <w:p>
      <w:pPr>
        <w:pStyle w:val="70"/>
        <w:numPr>
          <w:ilvl w:val="0"/>
          <w:numId w:val="3"/>
        </w:numPr>
        <w:ind w:firstLineChars="0"/>
        <w:rPr>
          <w:rFonts w:ascii="仿宋" w:hAnsi="仿宋" w:eastAsia="仿宋"/>
          <w:sz w:val="24"/>
          <w:szCs w:val="24"/>
        </w:rPr>
      </w:pPr>
      <w:r>
        <w:rPr>
          <w:rFonts w:hint="eastAsia" w:ascii="仿宋" w:hAnsi="仿宋" w:eastAsia="仿宋"/>
          <w:sz w:val="24"/>
          <w:szCs w:val="24"/>
        </w:rPr>
        <w:t>中学阶段三力现状：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（1）生活力：弘慧中学生的学习兴趣与学习态度较好，且学习成绩中等偏上，学习压力适中，问题行为偏少。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（2）学习力：弘慧中学生的学习兴趣与学习态度较好，且学习成绩中等偏上，学习压力适中，问题行为偏少。</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（3）社会力：弘慧中学生的同辈支持适中，乡土认同程度较高，对社会持较为正面的看法，对自己改变生活的能力有一定的信心。</w:t>
      </w:r>
    </w:p>
    <w:p>
      <w:pPr>
        <w:spacing w:line="360" w:lineRule="auto"/>
        <w:rPr>
          <w:rFonts w:ascii="仿宋" w:hAnsi="仿宋" w:eastAsia="仿宋"/>
          <w:sz w:val="24"/>
          <w:szCs w:val="24"/>
        </w:rPr>
      </w:pPr>
      <w:r>
        <w:rPr>
          <w:color w:val="B93426"/>
          <w:sz w:val="32"/>
          <w:szCs w:val="32"/>
        </w:rPr>
        <w:drawing>
          <wp:inline distT="0" distB="0" distL="0" distR="0">
            <wp:extent cx="2730500" cy="1923415"/>
            <wp:effectExtent l="0" t="0" r="0" b="635"/>
            <wp:docPr id="107374184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officeArt object"/>
                    <pic:cNvPicPr>
                      <a:picLocks noChangeAspect="1"/>
                    </pic:cNvPicPr>
                  </pic:nvPicPr>
                  <pic:blipFill>
                    <a:blip r:embed="rId13" cstate="print">
                      <a:extLst>
                        <a:ext uri="{28A0092B-C50C-407E-A947-70E740481C1C}">
                          <a14:useLocalDpi xmlns:a14="http://schemas.microsoft.com/office/drawing/2010/main" val="0"/>
                        </a:ext>
                      </a:extLst>
                    </a:blip>
                    <a:srcRect l="16657" t="2892" r="16657" b="2892"/>
                    <a:stretch>
                      <a:fillRect/>
                    </a:stretch>
                  </pic:blipFill>
                  <pic:spPr>
                    <a:xfrm>
                      <a:off x="0" y="0"/>
                      <a:ext cx="2730500" cy="1923415"/>
                    </a:xfrm>
                    <a:prstGeom prst="rect">
                      <a:avLst/>
                    </a:prstGeom>
                    <a:ln w="12700" cap="flat">
                      <a:noFill/>
                      <a:miter lim="400000"/>
                      <a:headEnd/>
                      <a:tailEnd/>
                    </a:ln>
                    <a:effectLst/>
                  </pic:spPr>
                </pic:pic>
              </a:graphicData>
            </a:graphic>
          </wp:inline>
        </w:drawing>
      </w:r>
      <w:r>
        <w:rPr>
          <w:rFonts w:hint="eastAsia" w:ascii="仿宋" w:hAnsi="仿宋" w:eastAsia="仿宋"/>
          <w:sz w:val="24"/>
          <w:szCs w:val="24"/>
        </w:rPr>
        <w:t xml:space="preserve"> </w:t>
      </w:r>
      <w:r>
        <w:rPr>
          <w:rFonts w:ascii="Songti TC Regular" w:hAnsi="Songti TC Regular" w:eastAsia="Songti TC Regular" w:cs="Songti TC Regular"/>
          <w:sz w:val="28"/>
          <w:szCs w:val="28"/>
        </w:rPr>
        <w:drawing>
          <wp:inline distT="0" distB="0" distL="0" distR="0">
            <wp:extent cx="2540000" cy="1842135"/>
            <wp:effectExtent l="0" t="0" r="0" b="5715"/>
            <wp:docPr id="10737418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officeArt object"/>
                    <pic:cNvPicPr>
                      <a:picLocks noChangeAspect="1"/>
                    </pic:cNvPicPr>
                  </pic:nvPicPr>
                  <pic:blipFill>
                    <a:blip r:embed="rId14" cstate="print">
                      <a:extLst>
                        <a:ext uri="{28A0092B-C50C-407E-A947-70E740481C1C}">
                          <a14:useLocalDpi xmlns:a14="http://schemas.microsoft.com/office/drawing/2010/main" val="0"/>
                        </a:ext>
                      </a:extLst>
                    </a:blip>
                    <a:srcRect l="17708" t="3261" r="17708" b="7653"/>
                    <a:stretch>
                      <a:fillRect/>
                    </a:stretch>
                  </pic:blipFill>
                  <pic:spPr>
                    <a:xfrm>
                      <a:off x="0" y="0"/>
                      <a:ext cx="2540000" cy="1842135"/>
                    </a:xfrm>
                    <a:prstGeom prst="rect">
                      <a:avLst/>
                    </a:prstGeom>
                    <a:ln w="12700" cap="flat">
                      <a:noFill/>
                      <a:miter lim="400000"/>
                      <a:headEnd/>
                      <a:tailEnd/>
                    </a:ln>
                    <a:effectLst/>
                  </pic:spPr>
                </pic:pic>
              </a:graphicData>
            </a:graphic>
          </wp:inline>
        </w:drawing>
      </w:r>
    </w:p>
    <w:p>
      <w:pPr>
        <w:spacing w:line="360" w:lineRule="auto"/>
        <w:jc w:val="center"/>
        <w:rPr>
          <w:rFonts w:ascii="仿宋" w:hAnsi="仿宋" w:eastAsia="仿宋"/>
          <w:sz w:val="24"/>
          <w:szCs w:val="24"/>
        </w:rPr>
      </w:pPr>
      <w:r>
        <w:rPr>
          <w:rFonts w:ascii="Songti TC Regular" w:hAnsi="Songti TC Regular" w:eastAsia="Songti TC Regular" w:cs="Songti TC Regular"/>
          <w:sz w:val="28"/>
          <w:szCs w:val="28"/>
        </w:rPr>
        <w:drawing>
          <wp:inline distT="0" distB="0" distL="0" distR="0">
            <wp:extent cx="2527300" cy="1929130"/>
            <wp:effectExtent l="0" t="0" r="6350" b="0"/>
            <wp:docPr id="107374185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4" name="officeArt object"/>
                    <pic:cNvPicPr>
                      <a:picLocks noChangeAspect="1"/>
                    </pic:cNvPicPr>
                  </pic:nvPicPr>
                  <pic:blipFill>
                    <a:blip r:embed="rId15" cstate="print">
                      <a:extLst>
                        <a:ext uri="{28A0092B-C50C-407E-A947-70E740481C1C}">
                          <a14:useLocalDpi xmlns:a14="http://schemas.microsoft.com/office/drawing/2010/main" val="0"/>
                        </a:ext>
                      </a:extLst>
                    </a:blip>
                    <a:srcRect l="20390" t="3325" r="16372" b="3325"/>
                    <a:stretch>
                      <a:fillRect/>
                    </a:stretch>
                  </pic:blipFill>
                  <pic:spPr>
                    <a:xfrm>
                      <a:off x="0" y="0"/>
                      <a:ext cx="2539357" cy="1938333"/>
                    </a:xfrm>
                    <a:prstGeom prst="rect">
                      <a:avLst/>
                    </a:prstGeom>
                    <a:ln w="12700" cap="flat">
                      <a:noFill/>
                      <a:miter lim="400000"/>
                      <a:headEnd/>
                      <a:tailEnd/>
                    </a:ln>
                    <a:effectLst/>
                  </pic:spPr>
                </pic:pic>
              </a:graphicData>
            </a:graphic>
          </wp:inline>
        </w:drawing>
      </w:r>
    </w:p>
    <w:p>
      <w:pPr>
        <w:spacing w:line="360" w:lineRule="auto"/>
        <w:jc w:val="center"/>
        <w:rPr>
          <w:rFonts w:ascii="仿宋" w:hAnsi="仿宋" w:eastAsia="仿宋"/>
          <w:b/>
          <w:bCs/>
          <w:szCs w:val="21"/>
        </w:rPr>
      </w:pPr>
      <w:r>
        <w:rPr>
          <w:rFonts w:hint="eastAsia" w:ascii="仿宋" w:hAnsi="仿宋" w:eastAsia="仿宋"/>
          <w:b/>
          <w:bCs/>
          <w:szCs w:val="21"/>
        </w:rPr>
        <w:t>弘慧学子在中学阶段三力现状</w:t>
      </w:r>
    </w:p>
    <w:p>
      <w:pPr>
        <w:spacing w:line="360" w:lineRule="auto"/>
        <w:jc w:val="center"/>
        <w:rPr>
          <w:rFonts w:ascii="仿宋" w:hAnsi="仿宋" w:eastAsia="仿宋"/>
          <w:b/>
          <w:bCs/>
          <w:sz w:val="22"/>
          <w:szCs w:val="22"/>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2、大学阶段三力现状：</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（1）生活力：弘慧大学生的自我满意度适中，情绪应对、自处能力、抗挫能力良好，精神状态较好。生活力整体水平中等偏上。</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（2）学习力：弘慧大学生的学习兴趣较高，但学习压力也较大。他们对大学的学习要求比校园生活更为适应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（3）社会力：弘慧大学生的乡土认同程度较高，对自己改变生活的能力有一定的信心，对社会持较为正面的看法，对人际交往能力和择业能力评价适中。</w:t>
      </w:r>
    </w:p>
    <w:p>
      <w:pPr>
        <w:spacing w:line="360" w:lineRule="auto"/>
        <w:rPr>
          <w:rFonts w:ascii="仿宋" w:hAnsi="仿宋" w:eastAsia="仿宋"/>
          <w:sz w:val="22"/>
          <w:szCs w:val="22"/>
        </w:rPr>
      </w:pPr>
    </w:p>
    <w:p>
      <w:pPr>
        <w:spacing w:line="360" w:lineRule="auto"/>
        <w:rPr>
          <w:rFonts w:ascii="仿宋" w:hAnsi="仿宋" w:eastAsia="仿宋"/>
          <w:sz w:val="22"/>
          <w:szCs w:val="22"/>
        </w:rPr>
      </w:pPr>
      <w:r>
        <w:rPr>
          <w:color w:val="B93426"/>
          <w:sz w:val="32"/>
          <w:szCs w:val="32"/>
        </w:rPr>
        <w:drawing>
          <wp:inline distT="0" distB="0" distL="0" distR="0">
            <wp:extent cx="2571750" cy="1813560"/>
            <wp:effectExtent l="0" t="0" r="0" b="0"/>
            <wp:docPr id="107374186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66" name="officeArt object"/>
                    <pic:cNvPicPr>
                      <a:picLocks noChangeAspect="1"/>
                    </pic:cNvPicPr>
                  </pic:nvPicPr>
                  <pic:blipFill>
                    <a:blip r:embed="rId16" cstate="print">
                      <a:extLst>
                        <a:ext uri="{28A0092B-C50C-407E-A947-70E740481C1C}">
                          <a14:useLocalDpi xmlns:a14="http://schemas.microsoft.com/office/drawing/2010/main" val="0"/>
                        </a:ext>
                      </a:extLst>
                    </a:blip>
                    <a:srcRect l="16378" t="3195" r="16378" b="9306"/>
                    <a:stretch>
                      <a:fillRect/>
                    </a:stretch>
                  </pic:blipFill>
                  <pic:spPr>
                    <a:xfrm>
                      <a:off x="0" y="0"/>
                      <a:ext cx="2572076" cy="1813790"/>
                    </a:xfrm>
                    <a:prstGeom prst="rect">
                      <a:avLst/>
                    </a:prstGeom>
                    <a:ln w="12700" cap="flat">
                      <a:noFill/>
                      <a:miter lim="400000"/>
                      <a:headEnd/>
                      <a:tailEnd/>
                    </a:ln>
                    <a:effectLst/>
                  </pic:spPr>
                </pic:pic>
              </a:graphicData>
            </a:graphic>
          </wp:inline>
        </w:drawing>
      </w:r>
      <w:r>
        <w:rPr>
          <w:color w:val="B93426"/>
          <w:sz w:val="32"/>
          <w:szCs w:val="32"/>
        </w:rPr>
        <w:drawing>
          <wp:inline distT="0" distB="0" distL="0" distR="0">
            <wp:extent cx="2317750" cy="1807210"/>
            <wp:effectExtent l="0" t="0" r="6350" b="2540"/>
            <wp:docPr id="107374187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75" name="officeArt object"/>
                    <pic:cNvPicPr>
                      <a:picLocks noChangeAspect="1"/>
                    </pic:cNvPicPr>
                  </pic:nvPicPr>
                  <pic:blipFill>
                    <a:blip r:embed="rId17" cstate="print">
                      <a:extLst>
                        <a:ext uri="{28A0092B-C50C-407E-A947-70E740481C1C}">
                          <a14:useLocalDpi xmlns:a14="http://schemas.microsoft.com/office/drawing/2010/main" val="0"/>
                        </a:ext>
                      </a:extLst>
                    </a:blip>
                    <a:srcRect l="13872" t="3491" r="13872" b="3491"/>
                    <a:stretch>
                      <a:fillRect/>
                    </a:stretch>
                  </pic:blipFill>
                  <pic:spPr>
                    <a:xfrm>
                      <a:off x="0" y="0"/>
                      <a:ext cx="2328472" cy="1815570"/>
                    </a:xfrm>
                    <a:prstGeom prst="rect">
                      <a:avLst/>
                    </a:prstGeom>
                    <a:ln w="12700" cap="flat">
                      <a:noFill/>
                      <a:miter lim="400000"/>
                      <a:headEnd/>
                      <a:tailEnd/>
                    </a:ln>
                    <a:effectLst/>
                  </pic:spPr>
                </pic:pic>
              </a:graphicData>
            </a:graphic>
          </wp:inline>
        </w:drawing>
      </w:r>
    </w:p>
    <w:p>
      <w:pPr>
        <w:spacing w:line="360" w:lineRule="auto"/>
        <w:jc w:val="center"/>
        <w:rPr>
          <w:rFonts w:ascii="仿宋" w:hAnsi="仿宋" w:eastAsia="仿宋"/>
          <w:sz w:val="22"/>
          <w:szCs w:val="22"/>
        </w:rPr>
      </w:pPr>
      <w:r>
        <w:rPr>
          <w:color w:val="B93426"/>
          <w:sz w:val="32"/>
          <w:szCs w:val="32"/>
        </w:rPr>
        <w:drawing>
          <wp:inline distT="0" distB="0" distL="0" distR="0">
            <wp:extent cx="2527300" cy="2037080"/>
            <wp:effectExtent l="0" t="0" r="6350" b="1270"/>
            <wp:docPr id="107374188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3" name="officeArt object"/>
                    <pic:cNvPicPr>
                      <a:picLocks noChangeAspect="1"/>
                    </pic:cNvPicPr>
                  </pic:nvPicPr>
                  <pic:blipFill>
                    <a:blip r:embed="rId18" cstate="print">
                      <a:extLst>
                        <a:ext uri="{28A0092B-C50C-407E-A947-70E740481C1C}">
                          <a14:useLocalDpi xmlns:a14="http://schemas.microsoft.com/office/drawing/2010/main" val="0"/>
                        </a:ext>
                      </a:extLst>
                    </a:blip>
                    <a:srcRect l="13096" t="4034" r="16256" b="11066"/>
                    <a:stretch>
                      <a:fillRect/>
                    </a:stretch>
                  </pic:blipFill>
                  <pic:spPr>
                    <a:xfrm>
                      <a:off x="0" y="0"/>
                      <a:ext cx="2527350" cy="2037120"/>
                    </a:xfrm>
                    <a:prstGeom prst="rect">
                      <a:avLst/>
                    </a:prstGeom>
                    <a:ln w="12700" cap="flat">
                      <a:noFill/>
                      <a:miter lim="400000"/>
                      <a:headEnd/>
                      <a:tailEnd/>
                    </a:ln>
                    <a:effectLst/>
                  </pic:spPr>
                </pic:pic>
              </a:graphicData>
            </a:graphic>
          </wp:inline>
        </w:drawing>
      </w:r>
    </w:p>
    <w:p>
      <w:pPr>
        <w:spacing w:line="360" w:lineRule="auto"/>
        <w:jc w:val="center"/>
        <w:rPr>
          <w:rFonts w:ascii="仿宋" w:hAnsi="仿宋" w:eastAsia="仿宋"/>
          <w:b/>
          <w:bCs/>
          <w:sz w:val="22"/>
          <w:szCs w:val="22"/>
        </w:rPr>
      </w:pPr>
      <w:r>
        <w:rPr>
          <w:rFonts w:hint="eastAsia" w:ascii="仿宋" w:hAnsi="仿宋" w:eastAsia="仿宋"/>
          <w:b/>
          <w:bCs/>
          <w:sz w:val="22"/>
          <w:szCs w:val="22"/>
        </w:rPr>
        <w:t>弘慧学子在大学阶段三力现状</w:t>
      </w:r>
    </w:p>
    <w:p>
      <w:pPr>
        <w:spacing w:line="360" w:lineRule="auto"/>
        <w:ind w:firstLine="480" w:firstLineChars="200"/>
        <w:rPr>
          <w:rFonts w:ascii="仿宋" w:hAnsi="仿宋" w:eastAsia="仿宋" w:cs="宋体"/>
          <w:sz w:val="24"/>
          <w:szCs w:val="24"/>
        </w:rPr>
      </w:pPr>
    </w:p>
    <w:p>
      <w:pPr>
        <w:spacing w:line="360" w:lineRule="auto"/>
        <w:ind w:firstLine="480" w:firstLineChars="200"/>
        <w:rPr>
          <w:rFonts w:ascii="仿宋" w:hAnsi="仿宋" w:eastAsia="仿宋"/>
          <w:sz w:val="24"/>
          <w:szCs w:val="24"/>
        </w:rPr>
      </w:pPr>
      <w:r>
        <w:rPr>
          <w:rFonts w:hint="eastAsia" w:ascii="仿宋" w:hAnsi="仿宋" w:eastAsia="仿宋"/>
          <w:sz w:val="24"/>
          <w:szCs w:val="24"/>
        </w:rPr>
        <w:t>4、弘慧学子中学阶段与大学阶段相关三力关键指标对比</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筑梦计划在助力乡村孩子三力成长的维度，核心关注的关键能力为：生活力</w:t>
      </w:r>
      <w:r>
        <w:rPr>
          <w:rFonts w:ascii="仿宋" w:hAnsi="仿宋" w:eastAsia="仿宋"/>
          <w:sz w:val="24"/>
          <w:szCs w:val="24"/>
        </w:rPr>
        <w:t>—</w:t>
      </w:r>
      <w:r>
        <w:rPr>
          <w:rFonts w:hint="eastAsia" w:ascii="仿宋" w:hAnsi="仿宋" w:eastAsia="仿宋"/>
          <w:sz w:val="24"/>
          <w:szCs w:val="24"/>
        </w:rPr>
        <w:t>抗逆力，学习力</w:t>
      </w:r>
      <w:r>
        <w:rPr>
          <w:rFonts w:ascii="仿宋" w:hAnsi="仿宋" w:eastAsia="仿宋"/>
          <w:sz w:val="24"/>
          <w:szCs w:val="24"/>
        </w:rPr>
        <w:t>-</w:t>
      </w:r>
      <w:r>
        <w:rPr>
          <w:rFonts w:hint="eastAsia" w:ascii="仿宋" w:hAnsi="仿宋" w:eastAsia="仿宋"/>
          <w:sz w:val="24"/>
          <w:szCs w:val="24"/>
        </w:rPr>
        <w:t>目标感，社会力-传承反哺。在此次针对弘慧学子三力测评中发现，大学阶段抗逆力、内驱力（对应目标感指标）、社会公正感和乡土认同（对应传承反哺）四个方面的认知和能力，比中学阶段的弘慧学子分数都要高。产生这样的变化的因素有很多，有学生成长本身带来的改变、也有生活环境变化带来的改变、也可能存在由于弘慧基金会的干预，助力学生在以上维度的成长。未来可以通过对同学们的长期跟踪和测评，去验证弘慧基金会的干预对于孩子们的影响。</w:t>
      </w:r>
      <w:r>
        <w:rPr>
          <w:rFonts w:hint="eastAsia" w:ascii="仿宋" w:hAnsi="仿宋" w:eastAsia="仿宋" w:cs="仿宋"/>
          <w:sz w:val="24"/>
          <w:szCs w:val="24"/>
        </w:rPr>
        <w:t>（备注：分数越高代表该能力/意识越强。）</w:t>
      </w:r>
    </w:p>
    <w:tbl>
      <w:tblPr>
        <w:tblStyle w:val="30"/>
        <w:tblW w:w="8626" w:type="dxa"/>
        <w:jc w:val="center"/>
        <w:tblLayout w:type="autofit"/>
        <w:tblCellMar>
          <w:top w:w="0" w:type="dxa"/>
          <w:left w:w="108" w:type="dxa"/>
          <w:bottom w:w="0" w:type="dxa"/>
          <w:right w:w="108" w:type="dxa"/>
        </w:tblCellMar>
      </w:tblPr>
      <w:tblGrid>
        <w:gridCol w:w="1686"/>
        <w:gridCol w:w="1946"/>
        <w:gridCol w:w="2465"/>
        <w:gridCol w:w="2529"/>
      </w:tblGrid>
      <w:tr>
        <w:tblPrEx>
          <w:tblCellMar>
            <w:top w:w="0" w:type="dxa"/>
            <w:left w:w="108" w:type="dxa"/>
            <w:bottom w:w="0" w:type="dxa"/>
            <w:right w:w="108" w:type="dxa"/>
          </w:tblCellMar>
        </w:tblPrEx>
        <w:trPr>
          <w:trHeight w:val="352" w:hRule="atLeast"/>
          <w:jc w:val="center"/>
        </w:trPr>
        <w:tc>
          <w:tcPr>
            <w:tcW w:w="16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分类</w:t>
            </w:r>
          </w:p>
        </w:tc>
        <w:tc>
          <w:tcPr>
            <w:tcW w:w="19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关键能力</w:t>
            </w:r>
          </w:p>
        </w:tc>
        <w:tc>
          <w:tcPr>
            <w:tcW w:w="24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中学阶段分数</w:t>
            </w:r>
          </w:p>
        </w:tc>
        <w:tc>
          <w:tcPr>
            <w:tcW w:w="25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大学阶段分数</w:t>
            </w:r>
          </w:p>
        </w:tc>
      </w:tr>
      <w:tr>
        <w:tblPrEx>
          <w:tblCellMar>
            <w:top w:w="0" w:type="dxa"/>
            <w:left w:w="108" w:type="dxa"/>
            <w:bottom w:w="0" w:type="dxa"/>
            <w:right w:w="108" w:type="dxa"/>
          </w:tblCellMar>
        </w:tblPrEx>
        <w:trPr>
          <w:trHeight w:val="352" w:hRule="atLeast"/>
          <w:jc w:val="center"/>
        </w:trPr>
        <w:tc>
          <w:tcPr>
            <w:tcW w:w="16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生活力</w:t>
            </w:r>
          </w:p>
        </w:tc>
        <w:tc>
          <w:tcPr>
            <w:tcW w:w="1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抗逆力</w:t>
            </w:r>
          </w:p>
        </w:tc>
        <w:tc>
          <w:tcPr>
            <w:tcW w:w="24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2.99</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3.65</w:t>
            </w:r>
          </w:p>
        </w:tc>
      </w:tr>
      <w:tr>
        <w:tblPrEx>
          <w:tblCellMar>
            <w:top w:w="0" w:type="dxa"/>
            <w:left w:w="108" w:type="dxa"/>
            <w:bottom w:w="0" w:type="dxa"/>
            <w:right w:w="108" w:type="dxa"/>
          </w:tblCellMar>
        </w:tblPrEx>
        <w:trPr>
          <w:trHeight w:val="352" w:hRule="atLeast"/>
          <w:jc w:val="center"/>
        </w:trPr>
        <w:tc>
          <w:tcPr>
            <w:tcW w:w="16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学习力</w:t>
            </w:r>
          </w:p>
        </w:tc>
        <w:tc>
          <w:tcPr>
            <w:tcW w:w="1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内驱力</w:t>
            </w:r>
          </w:p>
        </w:tc>
        <w:tc>
          <w:tcPr>
            <w:tcW w:w="24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3.54</w:t>
            </w:r>
          </w:p>
        </w:tc>
      </w:tr>
      <w:tr>
        <w:tblPrEx>
          <w:tblCellMar>
            <w:top w:w="0" w:type="dxa"/>
            <w:left w:w="108" w:type="dxa"/>
            <w:bottom w:w="0" w:type="dxa"/>
            <w:right w:w="108" w:type="dxa"/>
          </w:tblCellMar>
        </w:tblPrEx>
        <w:trPr>
          <w:trHeight w:val="352" w:hRule="atLeast"/>
          <w:jc w:val="center"/>
        </w:trPr>
        <w:tc>
          <w:tcPr>
            <w:tcW w:w="16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社会力</w:t>
            </w:r>
          </w:p>
        </w:tc>
        <w:tc>
          <w:tcPr>
            <w:tcW w:w="1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社会公正感</w:t>
            </w:r>
          </w:p>
        </w:tc>
        <w:tc>
          <w:tcPr>
            <w:tcW w:w="24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3.39</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3.53</w:t>
            </w:r>
          </w:p>
        </w:tc>
      </w:tr>
      <w:tr>
        <w:tblPrEx>
          <w:tblCellMar>
            <w:top w:w="0" w:type="dxa"/>
            <w:left w:w="108" w:type="dxa"/>
            <w:bottom w:w="0" w:type="dxa"/>
            <w:right w:w="108" w:type="dxa"/>
          </w:tblCellMar>
        </w:tblPrEx>
        <w:trPr>
          <w:trHeight w:val="352" w:hRule="atLeast"/>
          <w:jc w:val="center"/>
        </w:trPr>
        <w:tc>
          <w:tcPr>
            <w:tcW w:w="168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Cs w:val="21"/>
              </w:rPr>
            </w:pPr>
          </w:p>
        </w:tc>
        <w:tc>
          <w:tcPr>
            <w:tcW w:w="19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乡土认同感</w:t>
            </w:r>
          </w:p>
        </w:tc>
        <w:tc>
          <w:tcPr>
            <w:tcW w:w="246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3.85</w:t>
            </w:r>
          </w:p>
        </w:tc>
        <w:tc>
          <w:tcPr>
            <w:tcW w:w="252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3.92</w:t>
            </w:r>
          </w:p>
        </w:tc>
      </w:tr>
    </w:tbl>
    <w:p>
      <w:pPr>
        <w:spacing w:line="360" w:lineRule="auto"/>
        <w:jc w:val="center"/>
        <w:rPr>
          <w:rFonts w:ascii="仿宋" w:hAnsi="仿宋" w:eastAsia="仿宋"/>
          <w:b/>
          <w:bCs/>
          <w:sz w:val="24"/>
          <w:szCs w:val="24"/>
        </w:rPr>
      </w:pPr>
      <w:r>
        <w:rPr>
          <w:rFonts w:hint="eastAsia" w:ascii="仿宋" w:hAnsi="仿宋" w:eastAsia="仿宋" w:cs="宋体"/>
          <w:b/>
          <w:bCs/>
          <w:szCs w:val="21"/>
        </w:rPr>
        <w:t>弘慧学子在不同阶段三力关键能力分数</w:t>
      </w:r>
    </w:p>
    <w:p>
      <w:pPr>
        <w:adjustRightInd w:val="0"/>
        <w:snapToGrid w:val="0"/>
        <w:spacing w:line="276" w:lineRule="auto"/>
        <w:ind w:firstLine="480" w:firstLineChars="200"/>
        <w:rPr>
          <w:rFonts w:ascii="仿宋" w:hAnsi="仿宋" w:eastAsia="仿宋"/>
          <w:b/>
          <w:bCs/>
          <w:sz w:val="24"/>
          <w:szCs w:val="24"/>
        </w:rPr>
      </w:pPr>
      <w:r>
        <w:rPr>
          <w:rFonts w:hint="eastAsia" w:ascii="仿宋" w:hAnsi="仿宋" w:eastAsia="仿宋"/>
          <w:sz w:val="24"/>
          <w:szCs w:val="24"/>
        </w:rPr>
        <w:t>同时，研究团队对比了同龄阶段学生在精神状态上的数据，相关研究表明</w:t>
      </w:r>
      <w:r>
        <w:rPr>
          <w:rFonts w:ascii="仿宋" w:hAnsi="仿宋" w:eastAsia="仿宋"/>
          <w:sz w:val="24"/>
          <w:szCs w:val="24"/>
        </w:rPr>
        <w:t>22%</w:t>
      </w:r>
      <w:r>
        <w:rPr>
          <w:rFonts w:hint="eastAsia" w:ascii="微软雅黑" w:hAnsi="微软雅黑" w:eastAsia="微软雅黑" w:cs="微软雅黑"/>
          <w:sz w:val="24"/>
          <w:szCs w:val="24"/>
        </w:rPr>
        <w:t>⻘</w:t>
      </w:r>
      <w:r>
        <w:rPr>
          <w:rFonts w:hint="eastAsia" w:ascii="仿宋" w:hAnsi="仿宋" w:eastAsia="仿宋" w:cs="仿宋"/>
          <w:sz w:val="24"/>
          <w:szCs w:val="24"/>
        </w:rPr>
        <w:t>少年可能患有严重</w:t>
      </w:r>
      <w:r>
        <w:rPr>
          <w:rFonts w:hint="eastAsia" w:ascii="微软雅黑" w:hAnsi="微软雅黑" w:eastAsia="微软雅黑" w:cs="微软雅黑"/>
          <w:sz w:val="24"/>
          <w:szCs w:val="24"/>
        </w:rPr>
        <w:t>⼼</w:t>
      </w:r>
      <w:r>
        <w:rPr>
          <w:rFonts w:hint="eastAsia" w:ascii="仿宋" w:hAnsi="仿宋" w:eastAsia="仿宋" w:cs="仿宋"/>
          <w:sz w:val="24"/>
          <w:szCs w:val="24"/>
        </w:rPr>
        <w:t>理困扰</w:t>
      </w:r>
      <w:r>
        <w:rPr>
          <w:rFonts w:ascii="仿宋" w:hAnsi="仿宋" w:eastAsia="仿宋"/>
          <w:sz w:val="24"/>
          <w:szCs w:val="24"/>
        </w:rPr>
        <w:t>/</w:t>
      </w:r>
      <w:r>
        <w:rPr>
          <w:rFonts w:hint="eastAsia" w:ascii="微软雅黑" w:hAnsi="微软雅黑" w:eastAsia="微软雅黑" w:cs="微软雅黑"/>
          <w:sz w:val="24"/>
          <w:szCs w:val="24"/>
        </w:rPr>
        <w:t>⼼</w:t>
      </w:r>
      <w:r>
        <w:rPr>
          <w:rFonts w:hint="eastAsia" w:ascii="仿宋" w:hAnsi="仿宋" w:eastAsia="仿宋" w:cs="仿宋"/>
          <w:sz w:val="24"/>
          <w:szCs w:val="24"/>
        </w:rPr>
        <w:t>理疾病，而弘慧中学生在该维度的比例为：</w:t>
      </w:r>
      <w:r>
        <w:rPr>
          <w:rFonts w:ascii="仿宋" w:hAnsi="仿宋" w:eastAsia="仿宋"/>
          <w:sz w:val="24"/>
          <w:szCs w:val="24"/>
        </w:rPr>
        <w:t>5.57%</w:t>
      </w:r>
      <w:r>
        <w:rPr>
          <w:rFonts w:hint="eastAsia" w:ascii="仿宋" w:hAnsi="仿宋" w:eastAsia="仿宋"/>
          <w:sz w:val="24"/>
          <w:szCs w:val="24"/>
        </w:rPr>
        <w:t>。</w:t>
      </w:r>
      <w:r>
        <w:rPr>
          <w:rFonts w:ascii="仿宋" w:hAnsi="仿宋" w:eastAsia="仿宋"/>
          <w:sz w:val="24"/>
          <w:szCs w:val="24"/>
        </w:rPr>
        <w:t xml:space="preserve">28.4% </w:t>
      </w:r>
      <w:r>
        <w:rPr>
          <w:rFonts w:hint="eastAsia" w:ascii="仿宋" w:hAnsi="仿宋" w:eastAsia="仿宋"/>
          <w:sz w:val="24"/>
          <w:szCs w:val="24"/>
        </w:rPr>
        <w:t>普通</w:t>
      </w:r>
      <w:r>
        <w:rPr>
          <w:rFonts w:hint="eastAsia" w:ascii="微软雅黑" w:hAnsi="微软雅黑" w:eastAsia="微软雅黑" w:cs="微软雅黑"/>
          <w:sz w:val="24"/>
          <w:szCs w:val="24"/>
        </w:rPr>
        <w:t>⼤</w:t>
      </w:r>
      <w:r>
        <w:rPr>
          <w:rFonts w:hint="eastAsia" w:ascii="仿宋" w:hAnsi="仿宋" w:eastAsia="仿宋" w:cs="仿宋"/>
          <w:sz w:val="24"/>
          <w:szCs w:val="24"/>
        </w:rPr>
        <w:t>学</w:t>
      </w:r>
      <w:r>
        <w:rPr>
          <w:rFonts w:hint="eastAsia" w:ascii="微软雅黑" w:hAnsi="微软雅黑" w:eastAsia="微软雅黑" w:cs="微软雅黑"/>
          <w:sz w:val="24"/>
          <w:szCs w:val="24"/>
        </w:rPr>
        <w:t>⽣</w:t>
      </w:r>
      <w:r>
        <w:rPr>
          <w:rFonts w:hint="eastAsia" w:ascii="仿宋" w:hAnsi="仿宋" w:eastAsia="仿宋" w:cs="仿宋"/>
          <w:sz w:val="24"/>
          <w:szCs w:val="24"/>
        </w:rPr>
        <w:t>可能患有严重</w:t>
      </w:r>
      <w:r>
        <w:rPr>
          <w:rFonts w:hint="eastAsia" w:ascii="微软雅黑" w:hAnsi="微软雅黑" w:eastAsia="微软雅黑" w:cs="微软雅黑"/>
          <w:sz w:val="24"/>
          <w:szCs w:val="24"/>
        </w:rPr>
        <w:t>⼼</w:t>
      </w:r>
      <w:r>
        <w:rPr>
          <w:rFonts w:hint="eastAsia" w:ascii="仿宋" w:hAnsi="仿宋" w:eastAsia="仿宋" w:cs="仿宋"/>
          <w:sz w:val="24"/>
          <w:szCs w:val="24"/>
        </w:rPr>
        <w:t>理困扰</w:t>
      </w:r>
      <w:r>
        <w:rPr>
          <w:rFonts w:ascii="仿宋" w:hAnsi="仿宋" w:eastAsia="仿宋"/>
          <w:sz w:val="24"/>
          <w:szCs w:val="24"/>
        </w:rPr>
        <w:t>/</w:t>
      </w:r>
      <w:r>
        <w:rPr>
          <w:rFonts w:hint="eastAsia" w:ascii="微软雅黑" w:hAnsi="微软雅黑" w:eastAsia="微软雅黑" w:cs="微软雅黑"/>
          <w:sz w:val="24"/>
          <w:szCs w:val="24"/>
        </w:rPr>
        <w:t>⼼</w:t>
      </w:r>
      <w:r>
        <w:rPr>
          <w:rFonts w:hint="eastAsia" w:ascii="仿宋" w:hAnsi="仿宋" w:eastAsia="仿宋" w:cs="仿宋"/>
          <w:sz w:val="24"/>
          <w:szCs w:val="24"/>
        </w:rPr>
        <w:t>理疾病，而弘慧大学生在该维度的比例为：</w:t>
      </w:r>
      <w:r>
        <w:rPr>
          <w:rFonts w:ascii="仿宋" w:hAnsi="仿宋" w:eastAsia="仿宋"/>
          <w:sz w:val="24"/>
          <w:szCs w:val="24"/>
        </w:rPr>
        <w:t>7.9%</w:t>
      </w:r>
      <w:r>
        <w:rPr>
          <w:rFonts w:hint="eastAsia" w:ascii="仿宋" w:hAnsi="仿宋" w:eastAsia="仿宋"/>
          <w:sz w:val="24"/>
          <w:szCs w:val="24"/>
        </w:rPr>
        <w:t>。整体而言，弘慧中学</w:t>
      </w:r>
      <w:r>
        <w:rPr>
          <w:rFonts w:hint="eastAsia" w:ascii="微软雅黑" w:hAnsi="微软雅黑" w:eastAsia="微软雅黑" w:cs="微软雅黑"/>
          <w:sz w:val="24"/>
          <w:szCs w:val="24"/>
        </w:rPr>
        <w:t>⽣</w:t>
      </w:r>
      <w:r>
        <w:rPr>
          <w:rFonts w:hint="eastAsia" w:ascii="仿宋" w:hAnsi="仿宋" w:eastAsia="仿宋" w:cs="仿宋"/>
          <w:sz w:val="24"/>
          <w:szCs w:val="24"/>
        </w:rPr>
        <w:t>和大学生患有</w:t>
      </w:r>
      <w:r>
        <w:rPr>
          <w:rFonts w:hint="eastAsia" w:ascii="微软雅黑" w:hAnsi="微软雅黑" w:eastAsia="微软雅黑" w:cs="微软雅黑"/>
          <w:sz w:val="24"/>
          <w:szCs w:val="24"/>
        </w:rPr>
        <w:t>⼼</w:t>
      </w:r>
      <w:r>
        <w:rPr>
          <w:rFonts w:hint="eastAsia" w:ascii="仿宋" w:hAnsi="仿宋" w:eastAsia="仿宋" w:cs="仿宋"/>
          <w:sz w:val="24"/>
          <w:szCs w:val="24"/>
        </w:rPr>
        <w:t>理疾病的比例相比整体青少年群体和大学生要低很多。</w:t>
      </w:r>
    </w:p>
    <w:p>
      <w:pPr>
        <w:spacing w:line="360" w:lineRule="auto"/>
        <w:ind w:firstLine="482" w:firstLineChars="200"/>
        <w:rPr>
          <w:rFonts w:ascii="仿宋" w:hAnsi="仿宋" w:eastAsia="仿宋"/>
          <w:b/>
          <w:bCs/>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（二）弘慧学子公益成长与深度传承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筑梦计划倡导长期陪伴深度传承，期待通过帮助乡村孩子成长的同时，实现助人者自主到再助人的转变。一直以来，弘慧大学生都在用这样的理念和行为支持助力乡村教育发展。从近3年来，基金会统计的弘慧学子参与志愿服务的数据来看，呈现出以下现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1、弘慧大学生参与志愿服务人次、在基金会整体志愿服务人次和时长等多方面都在逐年提升，已成为基金会了最主要的志愿群体，2</w:t>
      </w:r>
      <w:r>
        <w:rPr>
          <w:rFonts w:ascii="仿宋" w:hAnsi="仿宋" w:eastAsia="仿宋"/>
          <w:sz w:val="24"/>
          <w:szCs w:val="24"/>
        </w:rPr>
        <w:t>022</w:t>
      </w:r>
      <w:r>
        <w:rPr>
          <w:rFonts w:hint="eastAsia" w:ascii="仿宋" w:hAnsi="仿宋" w:eastAsia="仿宋"/>
          <w:sz w:val="24"/>
          <w:szCs w:val="24"/>
        </w:rPr>
        <w:t>年志愿服务时长约占年度总时长4</w:t>
      </w:r>
      <w:r>
        <w:rPr>
          <w:rFonts w:ascii="仿宋" w:hAnsi="仿宋" w:eastAsia="仿宋"/>
          <w:sz w:val="24"/>
          <w:szCs w:val="24"/>
        </w:rPr>
        <w:t>8%</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弘慧大学生每年参与志愿服务的人数增长速度相对参与人次的增长速度要缓慢很多，其志愿服务人数在弘慧大学生的占比处于下滑的趋势。这表明，弘慧大学生参与弘慧志愿服务活动中，聚焦在部分人群身上，存在大部分志愿者多次参与的情况，很多弘慧学子还没有被激发和撬动参与到活动中。</w:t>
      </w:r>
    </w:p>
    <w:tbl>
      <w:tblPr>
        <w:tblStyle w:val="30"/>
        <w:tblW w:w="8597" w:type="dxa"/>
        <w:jc w:val="center"/>
        <w:tblLayout w:type="fixed"/>
        <w:tblCellMar>
          <w:top w:w="0" w:type="dxa"/>
          <w:left w:w="108" w:type="dxa"/>
          <w:bottom w:w="0" w:type="dxa"/>
          <w:right w:w="108" w:type="dxa"/>
        </w:tblCellMar>
      </w:tblPr>
      <w:tblGrid>
        <w:gridCol w:w="988"/>
        <w:gridCol w:w="1134"/>
        <w:gridCol w:w="1417"/>
        <w:gridCol w:w="1276"/>
        <w:gridCol w:w="1308"/>
        <w:gridCol w:w="1152"/>
        <w:gridCol w:w="1322"/>
      </w:tblGrid>
      <w:tr>
        <w:tblPrEx>
          <w:tblCellMar>
            <w:top w:w="0" w:type="dxa"/>
            <w:left w:w="108" w:type="dxa"/>
            <w:bottom w:w="0" w:type="dxa"/>
            <w:right w:w="108" w:type="dxa"/>
          </w:tblCellMar>
        </w:tblPrEx>
        <w:trPr>
          <w:trHeight w:val="204"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Cs w:val="21"/>
              </w:rPr>
            </w:pPr>
            <w:r>
              <w:rPr>
                <w:rFonts w:hint="eastAsia" w:ascii="仿宋" w:hAnsi="仿宋" w:eastAsia="仿宋" w:cs="仿宋"/>
                <w:color w:val="000000"/>
                <w:szCs w:val="21"/>
              </w:rPr>
              <w:t>时间</w:t>
            </w:r>
          </w:p>
        </w:tc>
        <w:tc>
          <w:tcPr>
            <w:tcW w:w="113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参与人次</w:t>
            </w:r>
          </w:p>
        </w:tc>
        <w:tc>
          <w:tcPr>
            <w:tcW w:w="1417"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占年度志愿服务总人次</w:t>
            </w:r>
          </w:p>
        </w:tc>
        <w:tc>
          <w:tcPr>
            <w:tcW w:w="127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参与时长</w:t>
            </w:r>
          </w:p>
        </w:tc>
        <w:tc>
          <w:tcPr>
            <w:tcW w:w="1308"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占年度志愿服务总时长</w:t>
            </w:r>
          </w:p>
        </w:tc>
        <w:tc>
          <w:tcPr>
            <w:tcW w:w="11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参与人数</w:t>
            </w:r>
          </w:p>
        </w:tc>
        <w:tc>
          <w:tcPr>
            <w:tcW w:w="1322" w:type="dxa"/>
            <w:tcBorders>
              <w:top w:val="single" w:color="000000" w:sz="4" w:space="0"/>
              <w:left w:val="nil"/>
              <w:bottom w:val="single" w:color="000000" w:sz="4" w:space="0"/>
              <w:right w:val="single" w:color="000000" w:sz="4" w:space="0"/>
            </w:tcBorders>
            <w:shd w:val="clear" w:color="auto" w:fill="D9D9D9"/>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占弘慧大学生总人数</w:t>
            </w:r>
          </w:p>
        </w:tc>
      </w:tr>
      <w:tr>
        <w:tblPrEx>
          <w:tblCellMar>
            <w:top w:w="0" w:type="dxa"/>
            <w:left w:w="108" w:type="dxa"/>
            <w:bottom w:w="0" w:type="dxa"/>
            <w:right w:w="108" w:type="dxa"/>
          </w:tblCellMar>
        </w:tblPrEx>
        <w:trPr>
          <w:trHeight w:val="102"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2020年</w:t>
            </w:r>
          </w:p>
        </w:tc>
        <w:tc>
          <w:tcPr>
            <w:tcW w:w="113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646</w:t>
            </w:r>
          </w:p>
        </w:tc>
        <w:tc>
          <w:tcPr>
            <w:tcW w:w="1417"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14.52%</w:t>
            </w:r>
          </w:p>
        </w:tc>
        <w:tc>
          <w:tcPr>
            <w:tcW w:w="127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38542.2</w:t>
            </w:r>
          </w:p>
        </w:tc>
        <w:tc>
          <w:tcPr>
            <w:tcW w:w="1308"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34.80%</w:t>
            </w:r>
          </w:p>
        </w:tc>
        <w:tc>
          <w:tcPr>
            <w:tcW w:w="11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407</w:t>
            </w:r>
          </w:p>
        </w:tc>
        <w:tc>
          <w:tcPr>
            <w:tcW w:w="1322"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39.06%</w:t>
            </w:r>
          </w:p>
        </w:tc>
      </w:tr>
      <w:tr>
        <w:tblPrEx>
          <w:tblCellMar>
            <w:top w:w="0" w:type="dxa"/>
            <w:left w:w="108" w:type="dxa"/>
            <w:bottom w:w="0" w:type="dxa"/>
            <w:right w:w="108" w:type="dxa"/>
          </w:tblCellMar>
        </w:tblPrEx>
        <w:trPr>
          <w:trHeight w:val="102"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2021年</w:t>
            </w:r>
          </w:p>
        </w:tc>
        <w:tc>
          <w:tcPr>
            <w:tcW w:w="113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1002</w:t>
            </w:r>
          </w:p>
        </w:tc>
        <w:tc>
          <w:tcPr>
            <w:tcW w:w="1417"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21.85%</w:t>
            </w:r>
          </w:p>
        </w:tc>
        <w:tc>
          <w:tcPr>
            <w:tcW w:w="127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41233</w:t>
            </w:r>
          </w:p>
        </w:tc>
        <w:tc>
          <w:tcPr>
            <w:tcW w:w="1308"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36.22%</w:t>
            </w:r>
          </w:p>
        </w:tc>
        <w:tc>
          <w:tcPr>
            <w:tcW w:w="11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403</w:t>
            </w:r>
          </w:p>
        </w:tc>
        <w:tc>
          <w:tcPr>
            <w:tcW w:w="1322"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30.39%</w:t>
            </w:r>
          </w:p>
        </w:tc>
      </w:tr>
      <w:tr>
        <w:tblPrEx>
          <w:tblCellMar>
            <w:top w:w="0" w:type="dxa"/>
            <w:left w:w="108" w:type="dxa"/>
            <w:bottom w:w="0" w:type="dxa"/>
            <w:right w:w="108" w:type="dxa"/>
          </w:tblCellMar>
        </w:tblPrEx>
        <w:trPr>
          <w:trHeight w:val="102"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2022年</w:t>
            </w:r>
          </w:p>
        </w:tc>
        <w:tc>
          <w:tcPr>
            <w:tcW w:w="113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1225</w:t>
            </w:r>
          </w:p>
        </w:tc>
        <w:tc>
          <w:tcPr>
            <w:tcW w:w="1417"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27.33%</w:t>
            </w:r>
          </w:p>
        </w:tc>
        <w:tc>
          <w:tcPr>
            <w:tcW w:w="1276"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56431.6</w:t>
            </w:r>
          </w:p>
        </w:tc>
        <w:tc>
          <w:tcPr>
            <w:tcW w:w="1308"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48.47%</w:t>
            </w:r>
          </w:p>
        </w:tc>
        <w:tc>
          <w:tcPr>
            <w:tcW w:w="11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528</w:t>
            </w:r>
          </w:p>
        </w:tc>
        <w:tc>
          <w:tcPr>
            <w:tcW w:w="1322" w:type="dxa"/>
            <w:tcBorders>
              <w:top w:val="single" w:color="000000" w:sz="4" w:space="0"/>
              <w:left w:val="nil"/>
              <w:bottom w:val="single" w:color="000000" w:sz="4" w:space="0"/>
              <w:right w:val="single" w:color="000000" w:sz="4" w:space="0"/>
            </w:tcBorders>
            <w:shd w:val="clear" w:color="auto" w:fill="D9D9D9"/>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32.43%</w:t>
            </w:r>
          </w:p>
        </w:tc>
      </w:tr>
    </w:tbl>
    <w:p>
      <w:pPr>
        <w:spacing w:line="360" w:lineRule="auto"/>
        <w:jc w:val="center"/>
        <w:rPr>
          <w:rFonts w:ascii="仿宋" w:hAnsi="仿宋" w:eastAsia="仿宋"/>
          <w:sz w:val="24"/>
          <w:szCs w:val="24"/>
        </w:rPr>
      </w:pPr>
      <w:r>
        <w:rPr>
          <w:rFonts w:hint="eastAsia" w:ascii="仿宋" w:hAnsi="仿宋" w:eastAsia="仿宋" w:cs="仿宋"/>
          <w:b/>
          <w:bCs/>
          <w:color w:val="000000"/>
          <w:kern w:val="0"/>
          <w:szCs w:val="21"/>
          <w:lang w:bidi="ar"/>
        </w:rPr>
        <w:t>近三年弘慧学子参与志愿服务情况</w:t>
      </w:r>
    </w:p>
    <w:p>
      <w:pPr>
        <w:spacing w:line="360" w:lineRule="auto"/>
        <w:ind w:firstLine="480" w:firstLineChars="200"/>
        <w:rPr>
          <w:rFonts w:ascii="仿宋" w:hAnsi="仿宋" w:eastAsia="仿宋"/>
          <w:sz w:val="24"/>
          <w:szCs w:val="24"/>
        </w:rPr>
      </w:pPr>
      <w:r>
        <w:rPr>
          <w:rFonts w:ascii="仿宋" w:hAnsi="仿宋" w:eastAsia="仿宋"/>
          <w:sz w:val="24"/>
          <w:szCs w:val="24"/>
        </w:rPr>
        <w:t xml:space="preserve"> 2022</w:t>
      </w:r>
      <w:r>
        <w:rPr>
          <w:rFonts w:hint="eastAsia" w:ascii="仿宋" w:hAnsi="仿宋" w:eastAsia="仿宋"/>
          <w:sz w:val="24"/>
          <w:szCs w:val="24"/>
        </w:rPr>
        <w:t>年，弘慧基金会统计了弘慧毕业大学生在乡村任教情况，发现7</w:t>
      </w:r>
      <w:r>
        <w:rPr>
          <w:rFonts w:ascii="仿宋" w:hAnsi="仿宋" w:eastAsia="仿宋"/>
          <w:sz w:val="24"/>
          <w:szCs w:val="24"/>
        </w:rPr>
        <w:t>0</w:t>
      </w:r>
      <w:r>
        <w:rPr>
          <w:rFonts w:hint="eastAsia" w:ascii="仿宋" w:hAnsi="仿宋" w:eastAsia="仿宋"/>
          <w:sz w:val="24"/>
          <w:szCs w:val="24"/>
        </w:rPr>
        <w:t>位弘慧学子，大学毕业后在乡村担任教师，其比例占已毕业弘慧学子8</w:t>
      </w:r>
      <w:r>
        <w:rPr>
          <w:rFonts w:ascii="仿宋" w:hAnsi="仿宋" w:eastAsia="仿宋"/>
          <w:sz w:val="24"/>
          <w:szCs w:val="24"/>
        </w:rPr>
        <w:t>%</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（三）筑梦计划行业影响力：</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筑梦计划运行2</w:t>
      </w:r>
      <w:r>
        <w:rPr>
          <w:rFonts w:ascii="仿宋" w:hAnsi="仿宋" w:eastAsia="仿宋"/>
          <w:sz w:val="24"/>
          <w:szCs w:val="24"/>
        </w:rPr>
        <w:t>1</w:t>
      </w:r>
      <w:r>
        <w:rPr>
          <w:rFonts w:hint="eastAsia" w:ascii="仿宋" w:hAnsi="仿宋" w:eastAsia="仿宋"/>
          <w:sz w:val="24"/>
          <w:szCs w:val="24"/>
        </w:rPr>
        <w:t>年以来得到公益行业的多次关注和认可，也取得了部分成绩和荣耀，相关奖励如下：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1、2</w:t>
      </w:r>
      <w:r>
        <w:rPr>
          <w:rFonts w:ascii="仿宋" w:hAnsi="仿宋" w:eastAsia="仿宋"/>
          <w:sz w:val="24"/>
          <w:szCs w:val="24"/>
        </w:rPr>
        <w:t>015</w:t>
      </w:r>
      <w:r>
        <w:rPr>
          <w:rFonts w:hint="eastAsia" w:ascii="仿宋" w:hAnsi="仿宋" w:eastAsia="仿宋"/>
          <w:sz w:val="24"/>
          <w:szCs w:val="24"/>
        </w:rPr>
        <w:t>年，筑梦计划荣获第三届“湖南省慈善奖”；</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2、2</w:t>
      </w:r>
      <w:r>
        <w:rPr>
          <w:rFonts w:ascii="仿宋" w:hAnsi="仿宋" w:eastAsia="仿宋"/>
          <w:sz w:val="24"/>
          <w:szCs w:val="24"/>
        </w:rPr>
        <w:t>019</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月，筑梦计划入选深圳国际公益学院“儿童教育公益项目案例集”，用于该学院公益授课案例；</w:t>
      </w:r>
      <w:r>
        <w:rPr>
          <w:rFonts w:hint="eastAsia" w:ascii="仿宋" w:hAnsi="仿宋" w:eastAsia="仿宋"/>
          <w:sz w:val="24"/>
          <w:szCs w:val="24"/>
        </w:rPr>
        <w:tab/>
      </w:r>
    </w:p>
    <w:p>
      <w:pPr>
        <w:spacing w:line="360" w:lineRule="auto"/>
        <w:ind w:firstLine="480" w:firstLineChars="200"/>
        <w:rPr>
          <w:rFonts w:ascii="仿宋" w:hAnsi="仿宋" w:eastAsia="仿宋"/>
          <w:sz w:val="24"/>
          <w:szCs w:val="24"/>
        </w:rPr>
      </w:pPr>
      <w:r>
        <w:rPr>
          <w:rFonts w:hint="eastAsia" w:ascii="仿宋" w:hAnsi="仿宋" w:eastAsia="仿宋"/>
          <w:sz w:val="24"/>
          <w:szCs w:val="24"/>
        </w:rPr>
        <w:t>3、2</w:t>
      </w:r>
      <w:r>
        <w:rPr>
          <w:rFonts w:ascii="仿宋" w:hAnsi="仿宋" w:eastAsia="仿宋"/>
          <w:sz w:val="24"/>
          <w:szCs w:val="24"/>
        </w:rPr>
        <w:t>020</w:t>
      </w:r>
      <w:r>
        <w:rPr>
          <w:rFonts w:hint="eastAsia" w:ascii="仿宋" w:hAnsi="仿宋" w:eastAsia="仿宋"/>
          <w:sz w:val="24"/>
          <w:szCs w:val="24"/>
        </w:rPr>
        <w:t>年，筑梦计划入选由联合国开发计划署与基金会中心网共同分布的“慈善与可持续发展 - 中国行动” 案例。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4、2</w:t>
      </w:r>
      <w:r>
        <w:rPr>
          <w:rFonts w:ascii="仿宋" w:hAnsi="仿宋" w:eastAsia="仿宋"/>
          <w:sz w:val="24"/>
          <w:szCs w:val="24"/>
        </w:rPr>
        <w:t>022</w:t>
      </w:r>
      <w:r>
        <w:rPr>
          <w:rFonts w:hint="eastAsia" w:ascii="仿宋" w:hAnsi="仿宋" w:eastAsia="仿宋"/>
          <w:sz w:val="24"/>
          <w:szCs w:val="24"/>
        </w:rPr>
        <w:t>年，筑梦计划荣获“2022年中国公益慈善项目大赛”四星优质项目。</w:t>
      </w:r>
    </w:p>
    <w:sectPr>
      <w:headerReference r:id="rId3" w:type="default"/>
      <w:footerReference r:id="rId4"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Songti TC Regular">
    <w:altName w:val="Microsoft JhengHei"/>
    <w:panose1 w:val="00000000000000000000"/>
    <w:charset w:val="88"/>
    <w:family w:val="auto"/>
    <w:pitch w:val="default"/>
    <w:sig w:usb0="00000000" w:usb1="00000000" w:usb2="00000010" w:usb3="00000000" w:csb0="0014009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Style w:val="34"/>
        <w:rFonts w:hint="eastAsia" w:cs="宋体"/>
      </w:rPr>
      <w:t>地址：湖南省长沙市岳麓高新技术开发区谷苑路265号</w:t>
    </w:r>
    <w:r>
      <w:rPr>
        <w:rStyle w:val="34"/>
        <w:rFonts w:hint="eastAsia" w:ascii="宋体" w:hAnsi="宋体" w:cs="宋体"/>
      </w:rPr>
      <w:t xml:space="preserve">    </w:t>
    </w:r>
    <w:r>
      <w:rPr>
        <w:rStyle w:val="34"/>
        <w:rFonts w:ascii="宋体" w:hAnsi="宋体" w:cs="宋体"/>
      </w:rPr>
      <w:t xml:space="preserve">    </w:t>
    </w:r>
    <w:r>
      <w:rPr>
        <w:rStyle w:val="34"/>
        <w:rFonts w:hint="eastAsia" w:ascii="宋体" w:hAnsi="宋体" w:cs="宋体"/>
      </w:rPr>
      <w:t xml:space="preserve">  </w:t>
    </w:r>
    <w:r>
      <w:rPr>
        <w:rStyle w:val="34"/>
        <w:rFonts w:hint="eastAsia" w:cs="宋体"/>
      </w:rPr>
      <w:t>网址：</w:t>
    </w:r>
    <w:r>
      <w:rPr>
        <w:rStyle w:val="34"/>
        <w:rFonts w:hint="eastAsia" w:ascii="宋体" w:hAnsi="宋体" w:cs="宋体"/>
      </w:rPr>
      <w:t xml:space="preserve">http://www.wispring.org.cn    </w:t>
    </w:r>
    <w:r>
      <w:fldChar w:fldCharType="begin"/>
    </w:r>
    <w:r>
      <w:rPr>
        <w:rStyle w:val="34"/>
      </w:rPr>
      <w:instrText xml:space="preserve"> PAGE </w:instrText>
    </w:r>
    <w:r>
      <w:fldChar w:fldCharType="separate"/>
    </w:r>
    <w:r>
      <w:rPr>
        <w:rStyle w:val="34"/>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0"/>
      </w:pBdr>
      <w:jc w:val="both"/>
    </w:pPr>
    <w:r>
      <w:drawing>
        <wp:inline distT="0" distB="0" distL="0" distR="0">
          <wp:extent cx="1932305" cy="38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3230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D6F72"/>
    <w:multiLevelType w:val="multilevel"/>
    <w:tmpl w:val="2BDD6F7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B10C7A"/>
    <w:multiLevelType w:val="multilevel"/>
    <w:tmpl w:val="3CB10C7A"/>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2421" w:hanging="720"/>
      </w:pPr>
      <w:rPr>
        <w:rFonts w:hint="eastAsia"/>
        <w:b/>
        <w:i w:val="0"/>
      </w:rPr>
    </w:lvl>
    <w:lvl w:ilvl="3" w:tentative="0">
      <w:start w:val="1"/>
      <w:numFmt w:val="decimal"/>
      <w:pStyle w:val="5"/>
      <w:lvlText w:val="%1.%2.%3.%4"/>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6791796A"/>
    <w:multiLevelType w:val="multilevel"/>
    <w:tmpl w:val="6791796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kMDk3NGJkMDZjMzAxOGE2MDg1ZDE3NzQxMzAzNTYifQ=="/>
  </w:docVars>
  <w:rsids>
    <w:rsidRoot w:val="0096587E"/>
    <w:rsid w:val="00000679"/>
    <w:rsid w:val="000018E4"/>
    <w:rsid w:val="000025B7"/>
    <w:rsid w:val="00003144"/>
    <w:rsid w:val="00006452"/>
    <w:rsid w:val="0000694C"/>
    <w:rsid w:val="000117EA"/>
    <w:rsid w:val="00013591"/>
    <w:rsid w:val="00013A54"/>
    <w:rsid w:val="00015E8D"/>
    <w:rsid w:val="000164E8"/>
    <w:rsid w:val="000169EA"/>
    <w:rsid w:val="00017080"/>
    <w:rsid w:val="000175AA"/>
    <w:rsid w:val="0001784D"/>
    <w:rsid w:val="00020583"/>
    <w:rsid w:val="000219E0"/>
    <w:rsid w:val="000224F8"/>
    <w:rsid w:val="0002357B"/>
    <w:rsid w:val="000257AC"/>
    <w:rsid w:val="00026AD4"/>
    <w:rsid w:val="00030455"/>
    <w:rsid w:val="0003172A"/>
    <w:rsid w:val="00031ED2"/>
    <w:rsid w:val="00032937"/>
    <w:rsid w:val="00034C71"/>
    <w:rsid w:val="00034E41"/>
    <w:rsid w:val="00036E15"/>
    <w:rsid w:val="0003706F"/>
    <w:rsid w:val="000371AC"/>
    <w:rsid w:val="000376E8"/>
    <w:rsid w:val="000378DC"/>
    <w:rsid w:val="00041D30"/>
    <w:rsid w:val="00041D34"/>
    <w:rsid w:val="00043D2F"/>
    <w:rsid w:val="0004449B"/>
    <w:rsid w:val="00045CDF"/>
    <w:rsid w:val="0004738B"/>
    <w:rsid w:val="00050C0E"/>
    <w:rsid w:val="00050C18"/>
    <w:rsid w:val="00051002"/>
    <w:rsid w:val="00052556"/>
    <w:rsid w:val="000537CF"/>
    <w:rsid w:val="00053818"/>
    <w:rsid w:val="00053F40"/>
    <w:rsid w:val="0005454A"/>
    <w:rsid w:val="00054B5B"/>
    <w:rsid w:val="00055CEC"/>
    <w:rsid w:val="00055DF0"/>
    <w:rsid w:val="0005693A"/>
    <w:rsid w:val="00056BA2"/>
    <w:rsid w:val="00056EDA"/>
    <w:rsid w:val="00056F7D"/>
    <w:rsid w:val="000575DD"/>
    <w:rsid w:val="000576AD"/>
    <w:rsid w:val="00057983"/>
    <w:rsid w:val="00060BC8"/>
    <w:rsid w:val="00061CA8"/>
    <w:rsid w:val="0006274E"/>
    <w:rsid w:val="00063164"/>
    <w:rsid w:val="0006323A"/>
    <w:rsid w:val="0006370A"/>
    <w:rsid w:val="00063C61"/>
    <w:rsid w:val="000650C5"/>
    <w:rsid w:val="00071398"/>
    <w:rsid w:val="00072464"/>
    <w:rsid w:val="00072721"/>
    <w:rsid w:val="00073059"/>
    <w:rsid w:val="00073A1B"/>
    <w:rsid w:val="00073B7C"/>
    <w:rsid w:val="00075914"/>
    <w:rsid w:val="00075BA9"/>
    <w:rsid w:val="00081A0C"/>
    <w:rsid w:val="00082008"/>
    <w:rsid w:val="000822D2"/>
    <w:rsid w:val="00082954"/>
    <w:rsid w:val="000830DD"/>
    <w:rsid w:val="000835AE"/>
    <w:rsid w:val="000842EF"/>
    <w:rsid w:val="0008539A"/>
    <w:rsid w:val="00087FBE"/>
    <w:rsid w:val="00090240"/>
    <w:rsid w:val="00090CC0"/>
    <w:rsid w:val="00092D36"/>
    <w:rsid w:val="00092DFA"/>
    <w:rsid w:val="00096054"/>
    <w:rsid w:val="000967DA"/>
    <w:rsid w:val="00097186"/>
    <w:rsid w:val="00097D60"/>
    <w:rsid w:val="000A1DA3"/>
    <w:rsid w:val="000A2747"/>
    <w:rsid w:val="000A4A93"/>
    <w:rsid w:val="000A63B4"/>
    <w:rsid w:val="000A659E"/>
    <w:rsid w:val="000A6DBE"/>
    <w:rsid w:val="000B1885"/>
    <w:rsid w:val="000B297C"/>
    <w:rsid w:val="000B3419"/>
    <w:rsid w:val="000B35CB"/>
    <w:rsid w:val="000B3D9D"/>
    <w:rsid w:val="000B42FE"/>
    <w:rsid w:val="000B657F"/>
    <w:rsid w:val="000B6AD1"/>
    <w:rsid w:val="000B7EB4"/>
    <w:rsid w:val="000C0084"/>
    <w:rsid w:val="000C12CF"/>
    <w:rsid w:val="000C14BD"/>
    <w:rsid w:val="000C3D7A"/>
    <w:rsid w:val="000C5112"/>
    <w:rsid w:val="000C6F64"/>
    <w:rsid w:val="000D3891"/>
    <w:rsid w:val="000D3A89"/>
    <w:rsid w:val="000D6FE2"/>
    <w:rsid w:val="000D7069"/>
    <w:rsid w:val="000E1BAE"/>
    <w:rsid w:val="000E5316"/>
    <w:rsid w:val="000E56A7"/>
    <w:rsid w:val="000E653A"/>
    <w:rsid w:val="000E7EA5"/>
    <w:rsid w:val="000F130E"/>
    <w:rsid w:val="000F3DF7"/>
    <w:rsid w:val="000F5827"/>
    <w:rsid w:val="000F5AF2"/>
    <w:rsid w:val="000F62AF"/>
    <w:rsid w:val="000F653D"/>
    <w:rsid w:val="000F657F"/>
    <w:rsid w:val="000F6B6A"/>
    <w:rsid w:val="000F72D4"/>
    <w:rsid w:val="000F7624"/>
    <w:rsid w:val="001002AE"/>
    <w:rsid w:val="001004CF"/>
    <w:rsid w:val="00101836"/>
    <w:rsid w:val="00102229"/>
    <w:rsid w:val="00102865"/>
    <w:rsid w:val="00103ABA"/>
    <w:rsid w:val="001048C7"/>
    <w:rsid w:val="00105D4A"/>
    <w:rsid w:val="00106C4B"/>
    <w:rsid w:val="00106D1E"/>
    <w:rsid w:val="00106E13"/>
    <w:rsid w:val="00110912"/>
    <w:rsid w:val="001113DE"/>
    <w:rsid w:val="00111995"/>
    <w:rsid w:val="00113379"/>
    <w:rsid w:val="0011355F"/>
    <w:rsid w:val="001161A8"/>
    <w:rsid w:val="00116463"/>
    <w:rsid w:val="00116514"/>
    <w:rsid w:val="00117A0A"/>
    <w:rsid w:val="00121F90"/>
    <w:rsid w:val="001241CE"/>
    <w:rsid w:val="00124A32"/>
    <w:rsid w:val="00124A68"/>
    <w:rsid w:val="001250C9"/>
    <w:rsid w:val="001264CC"/>
    <w:rsid w:val="0012727F"/>
    <w:rsid w:val="00127332"/>
    <w:rsid w:val="00127DF6"/>
    <w:rsid w:val="00132289"/>
    <w:rsid w:val="001364AC"/>
    <w:rsid w:val="001375A5"/>
    <w:rsid w:val="001402D0"/>
    <w:rsid w:val="00140748"/>
    <w:rsid w:val="00140761"/>
    <w:rsid w:val="00140944"/>
    <w:rsid w:val="00140E06"/>
    <w:rsid w:val="0014154D"/>
    <w:rsid w:val="001421C1"/>
    <w:rsid w:val="0014382E"/>
    <w:rsid w:val="00144110"/>
    <w:rsid w:val="00144E5C"/>
    <w:rsid w:val="001465A1"/>
    <w:rsid w:val="00146652"/>
    <w:rsid w:val="00146918"/>
    <w:rsid w:val="00146CBE"/>
    <w:rsid w:val="00147D24"/>
    <w:rsid w:val="00150D2F"/>
    <w:rsid w:val="001522F3"/>
    <w:rsid w:val="0015238C"/>
    <w:rsid w:val="00152BB5"/>
    <w:rsid w:val="001535BC"/>
    <w:rsid w:val="00153B6B"/>
    <w:rsid w:val="00153EAD"/>
    <w:rsid w:val="00154B8F"/>
    <w:rsid w:val="00154E99"/>
    <w:rsid w:val="0015559D"/>
    <w:rsid w:val="00155AFC"/>
    <w:rsid w:val="0015650A"/>
    <w:rsid w:val="00156AA7"/>
    <w:rsid w:val="00156B0D"/>
    <w:rsid w:val="00157259"/>
    <w:rsid w:val="00160695"/>
    <w:rsid w:val="00160BC7"/>
    <w:rsid w:val="00161517"/>
    <w:rsid w:val="0016174F"/>
    <w:rsid w:val="00161F17"/>
    <w:rsid w:val="0016223D"/>
    <w:rsid w:val="00162641"/>
    <w:rsid w:val="00162AFA"/>
    <w:rsid w:val="00164B68"/>
    <w:rsid w:val="00172692"/>
    <w:rsid w:val="00174BAE"/>
    <w:rsid w:val="00175349"/>
    <w:rsid w:val="00175691"/>
    <w:rsid w:val="0017606D"/>
    <w:rsid w:val="00177AAB"/>
    <w:rsid w:val="00181D02"/>
    <w:rsid w:val="001825CF"/>
    <w:rsid w:val="00182671"/>
    <w:rsid w:val="0018393E"/>
    <w:rsid w:val="00183DF5"/>
    <w:rsid w:val="00185C5C"/>
    <w:rsid w:val="001864B1"/>
    <w:rsid w:val="00186637"/>
    <w:rsid w:val="00186766"/>
    <w:rsid w:val="0018686F"/>
    <w:rsid w:val="001870DC"/>
    <w:rsid w:val="00187137"/>
    <w:rsid w:val="00190265"/>
    <w:rsid w:val="0019150E"/>
    <w:rsid w:val="0019170F"/>
    <w:rsid w:val="00192311"/>
    <w:rsid w:val="00192A7F"/>
    <w:rsid w:val="001932BA"/>
    <w:rsid w:val="00194437"/>
    <w:rsid w:val="00194628"/>
    <w:rsid w:val="00196063"/>
    <w:rsid w:val="00197599"/>
    <w:rsid w:val="001A0182"/>
    <w:rsid w:val="001A0757"/>
    <w:rsid w:val="001A0B82"/>
    <w:rsid w:val="001A10C4"/>
    <w:rsid w:val="001A3A12"/>
    <w:rsid w:val="001A5D08"/>
    <w:rsid w:val="001A5DAA"/>
    <w:rsid w:val="001A6A46"/>
    <w:rsid w:val="001A78A4"/>
    <w:rsid w:val="001B06E6"/>
    <w:rsid w:val="001B1DDA"/>
    <w:rsid w:val="001B25A8"/>
    <w:rsid w:val="001B30CF"/>
    <w:rsid w:val="001B337A"/>
    <w:rsid w:val="001B3BD5"/>
    <w:rsid w:val="001B46BD"/>
    <w:rsid w:val="001B49F6"/>
    <w:rsid w:val="001B7036"/>
    <w:rsid w:val="001C1C0E"/>
    <w:rsid w:val="001C20C0"/>
    <w:rsid w:val="001C2DD3"/>
    <w:rsid w:val="001C3724"/>
    <w:rsid w:val="001C38B2"/>
    <w:rsid w:val="001C38B9"/>
    <w:rsid w:val="001C5201"/>
    <w:rsid w:val="001C640F"/>
    <w:rsid w:val="001C65FE"/>
    <w:rsid w:val="001C728B"/>
    <w:rsid w:val="001C7F44"/>
    <w:rsid w:val="001D0CCA"/>
    <w:rsid w:val="001D1713"/>
    <w:rsid w:val="001D2741"/>
    <w:rsid w:val="001D2F60"/>
    <w:rsid w:val="001D3A1C"/>
    <w:rsid w:val="001D3AEC"/>
    <w:rsid w:val="001D4CF5"/>
    <w:rsid w:val="001D4E23"/>
    <w:rsid w:val="001D4F26"/>
    <w:rsid w:val="001D667C"/>
    <w:rsid w:val="001D7303"/>
    <w:rsid w:val="001E0A68"/>
    <w:rsid w:val="001E17DA"/>
    <w:rsid w:val="001E363E"/>
    <w:rsid w:val="001E372A"/>
    <w:rsid w:val="001E4A6C"/>
    <w:rsid w:val="001E4C67"/>
    <w:rsid w:val="001E4FDC"/>
    <w:rsid w:val="001E5158"/>
    <w:rsid w:val="001E5226"/>
    <w:rsid w:val="001E5A71"/>
    <w:rsid w:val="001E7464"/>
    <w:rsid w:val="001E7C3B"/>
    <w:rsid w:val="001E7E28"/>
    <w:rsid w:val="001F04E0"/>
    <w:rsid w:val="001F0E35"/>
    <w:rsid w:val="001F0FDE"/>
    <w:rsid w:val="001F11B8"/>
    <w:rsid w:val="001F13E4"/>
    <w:rsid w:val="001F1AD4"/>
    <w:rsid w:val="001F31E9"/>
    <w:rsid w:val="001F37BF"/>
    <w:rsid w:val="001F3A1D"/>
    <w:rsid w:val="001F3A33"/>
    <w:rsid w:val="001F42C1"/>
    <w:rsid w:val="001F5DCE"/>
    <w:rsid w:val="001F66F1"/>
    <w:rsid w:val="001F7647"/>
    <w:rsid w:val="001F79CE"/>
    <w:rsid w:val="001F7B7F"/>
    <w:rsid w:val="001F7C4D"/>
    <w:rsid w:val="002010AD"/>
    <w:rsid w:val="002016BC"/>
    <w:rsid w:val="00202E62"/>
    <w:rsid w:val="002035C8"/>
    <w:rsid w:val="00205076"/>
    <w:rsid w:val="00207667"/>
    <w:rsid w:val="00207670"/>
    <w:rsid w:val="002100B6"/>
    <w:rsid w:val="0021060F"/>
    <w:rsid w:val="0021077D"/>
    <w:rsid w:val="00211519"/>
    <w:rsid w:val="0021280B"/>
    <w:rsid w:val="0021291A"/>
    <w:rsid w:val="00212D13"/>
    <w:rsid w:val="0021374A"/>
    <w:rsid w:val="002165D2"/>
    <w:rsid w:val="00217CD3"/>
    <w:rsid w:val="00221905"/>
    <w:rsid w:val="0022257A"/>
    <w:rsid w:val="00222749"/>
    <w:rsid w:val="00222AC9"/>
    <w:rsid w:val="00225648"/>
    <w:rsid w:val="00226357"/>
    <w:rsid w:val="00226FE3"/>
    <w:rsid w:val="00227200"/>
    <w:rsid w:val="002328A8"/>
    <w:rsid w:val="002375C6"/>
    <w:rsid w:val="002403D1"/>
    <w:rsid w:val="002407C5"/>
    <w:rsid w:val="002409C6"/>
    <w:rsid w:val="00240A90"/>
    <w:rsid w:val="00240D2A"/>
    <w:rsid w:val="00241045"/>
    <w:rsid w:val="00241951"/>
    <w:rsid w:val="002425CD"/>
    <w:rsid w:val="00242B21"/>
    <w:rsid w:val="00242D39"/>
    <w:rsid w:val="00242D5A"/>
    <w:rsid w:val="00242DEF"/>
    <w:rsid w:val="00243A4B"/>
    <w:rsid w:val="00244198"/>
    <w:rsid w:val="002459B7"/>
    <w:rsid w:val="00245D11"/>
    <w:rsid w:val="0024622C"/>
    <w:rsid w:val="002463DD"/>
    <w:rsid w:val="00246EDB"/>
    <w:rsid w:val="00247137"/>
    <w:rsid w:val="00247E40"/>
    <w:rsid w:val="002508BC"/>
    <w:rsid w:val="00251234"/>
    <w:rsid w:val="0025137D"/>
    <w:rsid w:val="00251CDF"/>
    <w:rsid w:val="00252040"/>
    <w:rsid w:val="002523C6"/>
    <w:rsid w:val="00252A7E"/>
    <w:rsid w:val="00253D65"/>
    <w:rsid w:val="0025730D"/>
    <w:rsid w:val="0025787B"/>
    <w:rsid w:val="002578AC"/>
    <w:rsid w:val="00257C8D"/>
    <w:rsid w:val="00257EFA"/>
    <w:rsid w:val="002630D9"/>
    <w:rsid w:val="002642D2"/>
    <w:rsid w:val="0026434F"/>
    <w:rsid w:val="002657DE"/>
    <w:rsid w:val="00270513"/>
    <w:rsid w:val="00275451"/>
    <w:rsid w:val="002764E4"/>
    <w:rsid w:val="00276AA3"/>
    <w:rsid w:val="00277015"/>
    <w:rsid w:val="00280B0A"/>
    <w:rsid w:val="00282106"/>
    <w:rsid w:val="00282DDD"/>
    <w:rsid w:val="00285C96"/>
    <w:rsid w:val="002869F7"/>
    <w:rsid w:val="002902B0"/>
    <w:rsid w:val="002913F2"/>
    <w:rsid w:val="0029149B"/>
    <w:rsid w:val="0029273B"/>
    <w:rsid w:val="00295332"/>
    <w:rsid w:val="00295473"/>
    <w:rsid w:val="00297AA6"/>
    <w:rsid w:val="002A009F"/>
    <w:rsid w:val="002A02C6"/>
    <w:rsid w:val="002A04EA"/>
    <w:rsid w:val="002A16DF"/>
    <w:rsid w:val="002A2B64"/>
    <w:rsid w:val="002A2BC0"/>
    <w:rsid w:val="002A798C"/>
    <w:rsid w:val="002A7A40"/>
    <w:rsid w:val="002A7CD9"/>
    <w:rsid w:val="002B0F5E"/>
    <w:rsid w:val="002B161A"/>
    <w:rsid w:val="002B1B6D"/>
    <w:rsid w:val="002B2801"/>
    <w:rsid w:val="002B2960"/>
    <w:rsid w:val="002B2FFC"/>
    <w:rsid w:val="002B30DA"/>
    <w:rsid w:val="002B4277"/>
    <w:rsid w:val="002B5880"/>
    <w:rsid w:val="002B5ECC"/>
    <w:rsid w:val="002B611E"/>
    <w:rsid w:val="002B6BC1"/>
    <w:rsid w:val="002B7A76"/>
    <w:rsid w:val="002C0E5B"/>
    <w:rsid w:val="002C10D5"/>
    <w:rsid w:val="002C1EF4"/>
    <w:rsid w:val="002C2BBF"/>
    <w:rsid w:val="002C4397"/>
    <w:rsid w:val="002C52AC"/>
    <w:rsid w:val="002C59AD"/>
    <w:rsid w:val="002C6C78"/>
    <w:rsid w:val="002C6DA5"/>
    <w:rsid w:val="002C7391"/>
    <w:rsid w:val="002C7427"/>
    <w:rsid w:val="002C7CA5"/>
    <w:rsid w:val="002D1814"/>
    <w:rsid w:val="002D1ECC"/>
    <w:rsid w:val="002D1F9C"/>
    <w:rsid w:val="002D28B4"/>
    <w:rsid w:val="002D2BA8"/>
    <w:rsid w:val="002D2E42"/>
    <w:rsid w:val="002D42E4"/>
    <w:rsid w:val="002D491B"/>
    <w:rsid w:val="002D60F4"/>
    <w:rsid w:val="002D69F2"/>
    <w:rsid w:val="002D7D5D"/>
    <w:rsid w:val="002D7D75"/>
    <w:rsid w:val="002E021E"/>
    <w:rsid w:val="002E092B"/>
    <w:rsid w:val="002E0A33"/>
    <w:rsid w:val="002E3DC9"/>
    <w:rsid w:val="002E40E9"/>
    <w:rsid w:val="002E481C"/>
    <w:rsid w:val="002E6B98"/>
    <w:rsid w:val="002E76F8"/>
    <w:rsid w:val="002F0679"/>
    <w:rsid w:val="002F1E30"/>
    <w:rsid w:val="002F3AA8"/>
    <w:rsid w:val="002F5044"/>
    <w:rsid w:val="002F676A"/>
    <w:rsid w:val="002F6F0C"/>
    <w:rsid w:val="002F7F0C"/>
    <w:rsid w:val="00302B27"/>
    <w:rsid w:val="00303CEC"/>
    <w:rsid w:val="00305089"/>
    <w:rsid w:val="003068F6"/>
    <w:rsid w:val="0031053C"/>
    <w:rsid w:val="00311596"/>
    <w:rsid w:val="003126BC"/>
    <w:rsid w:val="00312A1F"/>
    <w:rsid w:val="003142DC"/>
    <w:rsid w:val="0031575C"/>
    <w:rsid w:val="003161A1"/>
    <w:rsid w:val="00316EEF"/>
    <w:rsid w:val="003172DD"/>
    <w:rsid w:val="0031760A"/>
    <w:rsid w:val="003204D1"/>
    <w:rsid w:val="00321263"/>
    <w:rsid w:val="00322F1C"/>
    <w:rsid w:val="00323398"/>
    <w:rsid w:val="00325405"/>
    <w:rsid w:val="003266C7"/>
    <w:rsid w:val="00327A5C"/>
    <w:rsid w:val="0033252C"/>
    <w:rsid w:val="003328FC"/>
    <w:rsid w:val="00332C70"/>
    <w:rsid w:val="00333454"/>
    <w:rsid w:val="00333C77"/>
    <w:rsid w:val="00333FAD"/>
    <w:rsid w:val="00334494"/>
    <w:rsid w:val="003348E4"/>
    <w:rsid w:val="00335E70"/>
    <w:rsid w:val="00336017"/>
    <w:rsid w:val="0033668D"/>
    <w:rsid w:val="00336DCB"/>
    <w:rsid w:val="00340485"/>
    <w:rsid w:val="003404A4"/>
    <w:rsid w:val="00343A6D"/>
    <w:rsid w:val="00343DFC"/>
    <w:rsid w:val="00344425"/>
    <w:rsid w:val="003451E0"/>
    <w:rsid w:val="00345736"/>
    <w:rsid w:val="0034690C"/>
    <w:rsid w:val="00347657"/>
    <w:rsid w:val="00347C2B"/>
    <w:rsid w:val="003504EC"/>
    <w:rsid w:val="003514C2"/>
    <w:rsid w:val="00351627"/>
    <w:rsid w:val="00351B5F"/>
    <w:rsid w:val="00353774"/>
    <w:rsid w:val="00353A29"/>
    <w:rsid w:val="00353D56"/>
    <w:rsid w:val="00353DE5"/>
    <w:rsid w:val="00353EBC"/>
    <w:rsid w:val="0035449C"/>
    <w:rsid w:val="00354F50"/>
    <w:rsid w:val="00356468"/>
    <w:rsid w:val="00357BCA"/>
    <w:rsid w:val="00360566"/>
    <w:rsid w:val="00360F3F"/>
    <w:rsid w:val="00361934"/>
    <w:rsid w:val="00361959"/>
    <w:rsid w:val="00361F35"/>
    <w:rsid w:val="0036431E"/>
    <w:rsid w:val="00364357"/>
    <w:rsid w:val="00364399"/>
    <w:rsid w:val="0036520C"/>
    <w:rsid w:val="00366E21"/>
    <w:rsid w:val="00370F16"/>
    <w:rsid w:val="003710A2"/>
    <w:rsid w:val="003716D5"/>
    <w:rsid w:val="00372DD3"/>
    <w:rsid w:val="00372F3B"/>
    <w:rsid w:val="00375648"/>
    <w:rsid w:val="00375D4D"/>
    <w:rsid w:val="00377F8F"/>
    <w:rsid w:val="0038147F"/>
    <w:rsid w:val="003814BD"/>
    <w:rsid w:val="00381B1D"/>
    <w:rsid w:val="00383989"/>
    <w:rsid w:val="00385998"/>
    <w:rsid w:val="003876CF"/>
    <w:rsid w:val="003876E8"/>
    <w:rsid w:val="00390EC8"/>
    <w:rsid w:val="00392360"/>
    <w:rsid w:val="00393049"/>
    <w:rsid w:val="00393340"/>
    <w:rsid w:val="00393BBE"/>
    <w:rsid w:val="00393D31"/>
    <w:rsid w:val="0039442F"/>
    <w:rsid w:val="003944BB"/>
    <w:rsid w:val="0039562A"/>
    <w:rsid w:val="003959B3"/>
    <w:rsid w:val="00397CA8"/>
    <w:rsid w:val="003A0EB8"/>
    <w:rsid w:val="003A31C0"/>
    <w:rsid w:val="003A3AA0"/>
    <w:rsid w:val="003A4132"/>
    <w:rsid w:val="003A57D0"/>
    <w:rsid w:val="003A7442"/>
    <w:rsid w:val="003A76C2"/>
    <w:rsid w:val="003B0820"/>
    <w:rsid w:val="003B130A"/>
    <w:rsid w:val="003B2F8C"/>
    <w:rsid w:val="003B57C3"/>
    <w:rsid w:val="003B7381"/>
    <w:rsid w:val="003B7DF4"/>
    <w:rsid w:val="003C090F"/>
    <w:rsid w:val="003C0AFF"/>
    <w:rsid w:val="003C0EFC"/>
    <w:rsid w:val="003C15C0"/>
    <w:rsid w:val="003C1697"/>
    <w:rsid w:val="003C1E34"/>
    <w:rsid w:val="003C29AD"/>
    <w:rsid w:val="003C3A8F"/>
    <w:rsid w:val="003C56DC"/>
    <w:rsid w:val="003C7D5F"/>
    <w:rsid w:val="003D05A0"/>
    <w:rsid w:val="003D2750"/>
    <w:rsid w:val="003D3315"/>
    <w:rsid w:val="003D5184"/>
    <w:rsid w:val="003D65A0"/>
    <w:rsid w:val="003D6E38"/>
    <w:rsid w:val="003D75F1"/>
    <w:rsid w:val="003D7D90"/>
    <w:rsid w:val="003E02FD"/>
    <w:rsid w:val="003E03F7"/>
    <w:rsid w:val="003E04BA"/>
    <w:rsid w:val="003E0944"/>
    <w:rsid w:val="003E176D"/>
    <w:rsid w:val="003E46C0"/>
    <w:rsid w:val="003E46E9"/>
    <w:rsid w:val="003E5267"/>
    <w:rsid w:val="003E5585"/>
    <w:rsid w:val="003E5B4F"/>
    <w:rsid w:val="003E6D30"/>
    <w:rsid w:val="003E7944"/>
    <w:rsid w:val="003F0B92"/>
    <w:rsid w:val="003F1962"/>
    <w:rsid w:val="003F3531"/>
    <w:rsid w:val="003F3685"/>
    <w:rsid w:val="003F4FF4"/>
    <w:rsid w:val="003F54E1"/>
    <w:rsid w:val="003F5598"/>
    <w:rsid w:val="003F58DF"/>
    <w:rsid w:val="003F6F45"/>
    <w:rsid w:val="003F7430"/>
    <w:rsid w:val="00403171"/>
    <w:rsid w:val="00404A52"/>
    <w:rsid w:val="00405756"/>
    <w:rsid w:val="004068DF"/>
    <w:rsid w:val="00406945"/>
    <w:rsid w:val="00406C35"/>
    <w:rsid w:val="00407C67"/>
    <w:rsid w:val="00407D76"/>
    <w:rsid w:val="00407DF8"/>
    <w:rsid w:val="0041068E"/>
    <w:rsid w:val="004106F9"/>
    <w:rsid w:val="0041189F"/>
    <w:rsid w:val="00411C06"/>
    <w:rsid w:val="00411CF7"/>
    <w:rsid w:val="00412047"/>
    <w:rsid w:val="00412147"/>
    <w:rsid w:val="0041681B"/>
    <w:rsid w:val="0041748C"/>
    <w:rsid w:val="00417D09"/>
    <w:rsid w:val="004207B6"/>
    <w:rsid w:val="00420829"/>
    <w:rsid w:val="0042150F"/>
    <w:rsid w:val="00421E92"/>
    <w:rsid w:val="0042276F"/>
    <w:rsid w:val="0042287C"/>
    <w:rsid w:val="00424AD0"/>
    <w:rsid w:val="0042506E"/>
    <w:rsid w:val="004267C7"/>
    <w:rsid w:val="00426AB6"/>
    <w:rsid w:val="00427675"/>
    <w:rsid w:val="004276A7"/>
    <w:rsid w:val="0042795D"/>
    <w:rsid w:val="004310BB"/>
    <w:rsid w:val="00431C9B"/>
    <w:rsid w:val="00431EFE"/>
    <w:rsid w:val="004330FB"/>
    <w:rsid w:val="00433395"/>
    <w:rsid w:val="004344C4"/>
    <w:rsid w:val="004349B7"/>
    <w:rsid w:val="00436748"/>
    <w:rsid w:val="00437795"/>
    <w:rsid w:val="0044049B"/>
    <w:rsid w:val="00442032"/>
    <w:rsid w:val="004421CB"/>
    <w:rsid w:val="00443F07"/>
    <w:rsid w:val="00446300"/>
    <w:rsid w:val="00446A87"/>
    <w:rsid w:val="00446B2D"/>
    <w:rsid w:val="00446F22"/>
    <w:rsid w:val="004471C1"/>
    <w:rsid w:val="00451AA4"/>
    <w:rsid w:val="00451DF6"/>
    <w:rsid w:val="004527D3"/>
    <w:rsid w:val="00453F8B"/>
    <w:rsid w:val="0045539F"/>
    <w:rsid w:val="00456239"/>
    <w:rsid w:val="00456730"/>
    <w:rsid w:val="00456EE2"/>
    <w:rsid w:val="00457F1C"/>
    <w:rsid w:val="00457FD3"/>
    <w:rsid w:val="00460FAF"/>
    <w:rsid w:val="00461091"/>
    <w:rsid w:val="004620DE"/>
    <w:rsid w:val="0046296E"/>
    <w:rsid w:val="004638F5"/>
    <w:rsid w:val="00471450"/>
    <w:rsid w:val="004720E5"/>
    <w:rsid w:val="00473CA4"/>
    <w:rsid w:val="00474236"/>
    <w:rsid w:val="00475C4C"/>
    <w:rsid w:val="00476ABA"/>
    <w:rsid w:val="00476F0E"/>
    <w:rsid w:val="004778BE"/>
    <w:rsid w:val="00480F5D"/>
    <w:rsid w:val="00481939"/>
    <w:rsid w:val="00482583"/>
    <w:rsid w:val="0048375D"/>
    <w:rsid w:val="004851CF"/>
    <w:rsid w:val="00485E74"/>
    <w:rsid w:val="00485EE6"/>
    <w:rsid w:val="00492B71"/>
    <w:rsid w:val="004947DD"/>
    <w:rsid w:val="0049560C"/>
    <w:rsid w:val="00496F51"/>
    <w:rsid w:val="00496F6F"/>
    <w:rsid w:val="004A0535"/>
    <w:rsid w:val="004A11EA"/>
    <w:rsid w:val="004A25CB"/>
    <w:rsid w:val="004A28E3"/>
    <w:rsid w:val="004A451B"/>
    <w:rsid w:val="004A4E73"/>
    <w:rsid w:val="004A5982"/>
    <w:rsid w:val="004A59E5"/>
    <w:rsid w:val="004A6A27"/>
    <w:rsid w:val="004A6B0F"/>
    <w:rsid w:val="004A6EEF"/>
    <w:rsid w:val="004A714C"/>
    <w:rsid w:val="004B2E32"/>
    <w:rsid w:val="004B3528"/>
    <w:rsid w:val="004B5732"/>
    <w:rsid w:val="004B577A"/>
    <w:rsid w:val="004C0723"/>
    <w:rsid w:val="004C2588"/>
    <w:rsid w:val="004C30F4"/>
    <w:rsid w:val="004C4A8B"/>
    <w:rsid w:val="004C5BB5"/>
    <w:rsid w:val="004C608C"/>
    <w:rsid w:val="004C625A"/>
    <w:rsid w:val="004C6368"/>
    <w:rsid w:val="004C65D8"/>
    <w:rsid w:val="004C7119"/>
    <w:rsid w:val="004C7AB1"/>
    <w:rsid w:val="004D0F89"/>
    <w:rsid w:val="004D186E"/>
    <w:rsid w:val="004D2111"/>
    <w:rsid w:val="004D2A9B"/>
    <w:rsid w:val="004D34DF"/>
    <w:rsid w:val="004D3973"/>
    <w:rsid w:val="004D4518"/>
    <w:rsid w:val="004D4AA0"/>
    <w:rsid w:val="004D6EFC"/>
    <w:rsid w:val="004D6FCD"/>
    <w:rsid w:val="004E0107"/>
    <w:rsid w:val="004E14F0"/>
    <w:rsid w:val="004E2F63"/>
    <w:rsid w:val="004E340E"/>
    <w:rsid w:val="004E5875"/>
    <w:rsid w:val="004E6155"/>
    <w:rsid w:val="004E691A"/>
    <w:rsid w:val="004E78CB"/>
    <w:rsid w:val="004F1DFB"/>
    <w:rsid w:val="004F1E72"/>
    <w:rsid w:val="004F40F1"/>
    <w:rsid w:val="004F74AA"/>
    <w:rsid w:val="00500514"/>
    <w:rsid w:val="00500ABF"/>
    <w:rsid w:val="00500AED"/>
    <w:rsid w:val="0050180B"/>
    <w:rsid w:val="005027B2"/>
    <w:rsid w:val="00503061"/>
    <w:rsid w:val="005041AA"/>
    <w:rsid w:val="00506EB1"/>
    <w:rsid w:val="0050738A"/>
    <w:rsid w:val="00510653"/>
    <w:rsid w:val="00511BD2"/>
    <w:rsid w:val="0051216B"/>
    <w:rsid w:val="00513978"/>
    <w:rsid w:val="005141F0"/>
    <w:rsid w:val="00515119"/>
    <w:rsid w:val="0051536D"/>
    <w:rsid w:val="00515424"/>
    <w:rsid w:val="005158EA"/>
    <w:rsid w:val="00515BDE"/>
    <w:rsid w:val="00517075"/>
    <w:rsid w:val="00520AE1"/>
    <w:rsid w:val="00522721"/>
    <w:rsid w:val="0052306E"/>
    <w:rsid w:val="00525451"/>
    <w:rsid w:val="00525896"/>
    <w:rsid w:val="00526410"/>
    <w:rsid w:val="00527D24"/>
    <w:rsid w:val="00530598"/>
    <w:rsid w:val="005318E3"/>
    <w:rsid w:val="00533820"/>
    <w:rsid w:val="00534FA4"/>
    <w:rsid w:val="0053520D"/>
    <w:rsid w:val="0053533E"/>
    <w:rsid w:val="00535B8D"/>
    <w:rsid w:val="00536DD9"/>
    <w:rsid w:val="005375E5"/>
    <w:rsid w:val="005422FB"/>
    <w:rsid w:val="0054280E"/>
    <w:rsid w:val="00542A3A"/>
    <w:rsid w:val="005439A3"/>
    <w:rsid w:val="00544478"/>
    <w:rsid w:val="00544611"/>
    <w:rsid w:val="00544DC3"/>
    <w:rsid w:val="005459F7"/>
    <w:rsid w:val="00551D27"/>
    <w:rsid w:val="00551EFB"/>
    <w:rsid w:val="00552D34"/>
    <w:rsid w:val="00553201"/>
    <w:rsid w:val="0055346F"/>
    <w:rsid w:val="005544D8"/>
    <w:rsid w:val="00555256"/>
    <w:rsid w:val="00557203"/>
    <w:rsid w:val="005602D0"/>
    <w:rsid w:val="005611F4"/>
    <w:rsid w:val="00562B3C"/>
    <w:rsid w:val="005632E9"/>
    <w:rsid w:val="00563FF3"/>
    <w:rsid w:val="00564ACB"/>
    <w:rsid w:val="005652D2"/>
    <w:rsid w:val="005652F1"/>
    <w:rsid w:val="0056538D"/>
    <w:rsid w:val="00570F49"/>
    <w:rsid w:val="005716AD"/>
    <w:rsid w:val="00571B23"/>
    <w:rsid w:val="00572526"/>
    <w:rsid w:val="00574D97"/>
    <w:rsid w:val="00581146"/>
    <w:rsid w:val="00581804"/>
    <w:rsid w:val="00582473"/>
    <w:rsid w:val="00582D85"/>
    <w:rsid w:val="00583853"/>
    <w:rsid w:val="00583D26"/>
    <w:rsid w:val="00584948"/>
    <w:rsid w:val="005852D6"/>
    <w:rsid w:val="005908B0"/>
    <w:rsid w:val="005909A8"/>
    <w:rsid w:val="00591A86"/>
    <w:rsid w:val="00592181"/>
    <w:rsid w:val="00592D75"/>
    <w:rsid w:val="0059304E"/>
    <w:rsid w:val="005931ED"/>
    <w:rsid w:val="005934E9"/>
    <w:rsid w:val="0059412F"/>
    <w:rsid w:val="00594FE7"/>
    <w:rsid w:val="00595CE7"/>
    <w:rsid w:val="00596867"/>
    <w:rsid w:val="0059689E"/>
    <w:rsid w:val="00596902"/>
    <w:rsid w:val="00596BDC"/>
    <w:rsid w:val="005970FC"/>
    <w:rsid w:val="00597BCA"/>
    <w:rsid w:val="005A0B82"/>
    <w:rsid w:val="005A1094"/>
    <w:rsid w:val="005A2F05"/>
    <w:rsid w:val="005A2F29"/>
    <w:rsid w:val="005A4175"/>
    <w:rsid w:val="005A41F7"/>
    <w:rsid w:val="005A6024"/>
    <w:rsid w:val="005A77C7"/>
    <w:rsid w:val="005B0E2C"/>
    <w:rsid w:val="005B271E"/>
    <w:rsid w:val="005B2F94"/>
    <w:rsid w:val="005B3176"/>
    <w:rsid w:val="005B4181"/>
    <w:rsid w:val="005B7A0B"/>
    <w:rsid w:val="005C0DB7"/>
    <w:rsid w:val="005C2082"/>
    <w:rsid w:val="005C2EFD"/>
    <w:rsid w:val="005C59FF"/>
    <w:rsid w:val="005D224E"/>
    <w:rsid w:val="005D2F72"/>
    <w:rsid w:val="005D32BC"/>
    <w:rsid w:val="005D472B"/>
    <w:rsid w:val="005D58E7"/>
    <w:rsid w:val="005D60E7"/>
    <w:rsid w:val="005D6224"/>
    <w:rsid w:val="005D632E"/>
    <w:rsid w:val="005E13D4"/>
    <w:rsid w:val="005E1BCE"/>
    <w:rsid w:val="005E2B74"/>
    <w:rsid w:val="005E4843"/>
    <w:rsid w:val="005E5B92"/>
    <w:rsid w:val="005E782C"/>
    <w:rsid w:val="005F2B69"/>
    <w:rsid w:val="005F44B2"/>
    <w:rsid w:val="005F50F4"/>
    <w:rsid w:val="005F5233"/>
    <w:rsid w:val="005F6694"/>
    <w:rsid w:val="006011B2"/>
    <w:rsid w:val="0060177D"/>
    <w:rsid w:val="006022CC"/>
    <w:rsid w:val="006036E3"/>
    <w:rsid w:val="006043B7"/>
    <w:rsid w:val="0060449B"/>
    <w:rsid w:val="006045F2"/>
    <w:rsid w:val="00604829"/>
    <w:rsid w:val="006053B3"/>
    <w:rsid w:val="00605BE0"/>
    <w:rsid w:val="00606B7A"/>
    <w:rsid w:val="00606FC6"/>
    <w:rsid w:val="00607A15"/>
    <w:rsid w:val="00611435"/>
    <w:rsid w:val="00616894"/>
    <w:rsid w:val="00616F7C"/>
    <w:rsid w:val="00617F5C"/>
    <w:rsid w:val="00617FBD"/>
    <w:rsid w:val="006202EA"/>
    <w:rsid w:val="00620885"/>
    <w:rsid w:val="00620F7F"/>
    <w:rsid w:val="006229F7"/>
    <w:rsid w:val="0062408A"/>
    <w:rsid w:val="00627349"/>
    <w:rsid w:val="00627B7B"/>
    <w:rsid w:val="00630402"/>
    <w:rsid w:val="006306C2"/>
    <w:rsid w:val="0063126E"/>
    <w:rsid w:val="00631829"/>
    <w:rsid w:val="00632C6F"/>
    <w:rsid w:val="00632DDC"/>
    <w:rsid w:val="00633634"/>
    <w:rsid w:val="006338CA"/>
    <w:rsid w:val="00634241"/>
    <w:rsid w:val="00634824"/>
    <w:rsid w:val="00635890"/>
    <w:rsid w:val="00635E26"/>
    <w:rsid w:val="0063601C"/>
    <w:rsid w:val="00640339"/>
    <w:rsid w:val="00641CA5"/>
    <w:rsid w:val="00642081"/>
    <w:rsid w:val="00642485"/>
    <w:rsid w:val="006441AC"/>
    <w:rsid w:val="006446E8"/>
    <w:rsid w:val="00644FF3"/>
    <w:rsid w:val="00645CAB"/>
    <w:rsid w:val="00646DB4"/>
    <w:rsid w:val="006472DE"/>
    <w:rsid w:val="00647E62"/>
    <w:rsid w:val="0065021F"/>
    <w:rsid w:val="0065056F"/>
    <w:rsid w:val="006507A2"/>
    <w:rsid w:val="00650820"/>
    <w:rsid w:val="00652358"/>
    <w:rsid w:val="00653698"/>
    <w:rsid w:val="00653E93"/>
    <w:rsid w:val="00654103"/>
    <w:rsid w:val="00660519"/>
    <w:rsid w:val="00660F82"/>
    <w:rsid w:val="00661CA7"/>
    <w:rsid w:val="00661FBD"/>
    <w:rsid w:val="006629AA"/>
    <w:rsid w:val="00663F34"/>
    <w:rsid w:val="006647EA"/>
    <w:rsid w:val="006648B2"/>
    <w:rsid w:val="00665479"/>
    <w:rsid w:val="006665D9"/>
    <w:rsid w:val="00666AE6"/>
    <w:rsid w:val="00671CB8"/>
    <w:rsid w:val="00673788"/>
    <w:rsid w:val="00673851"/>
    <w:rsid w:val="00674F21"/>
    <w:rsid w:val="00674FF7"/>
    <w:rsid w:val="00675364"/>
    <w:rsid w:val="006769B3"/>
    <w:rsid w:val="0068012C"/>
    <w:rsid w:val="00680D9D"/>
    <w:rsid w:val="00683621"/>
    <w:rsid w:val="00683803"/>
    <w:rsid w:val="00683D84"/>
    <w:rsid w:val="00685A48"/>
    <w:rsid w:val="00685AF9"/>
    <w:rsid w:val="006866FC"/>
    <w:rsid w:val="00687A44"/>
    <w:rsid w:val="00687F66"/>
    <w:rsid w:val="00687F80"/>
    <w:rsid w:val="0069032C"/>
    <w:rsid w:val="006904D7"/>
    <w:rsid w:val="00691E19"/>
    <w:rsid w:val="00692C02"/>
    <w:rsid w:val="006932E8"/>
    <w:rsid w:val="00693745"/>
    <w:rsid w:val="00693EF3"/>
    <w:rsid w:val="0069431C"/>
    <w:rsid w:val="006A15CB"/>
    <w:rsid w:val="006A350F"/>
    <w:rsid w:val="006A3E29"/>
    <w:rsid w:val="006A4464"/>
    <w:rsid w:val="006A541E"/>
    <w:rsid w:val="006A6FBD"/>
    <w:rsid w:val="006A715B"/>
    <w:rsid w:val="006A7948"/>
    <w:rsid w:val="006B1289"/>
    <w:rsid w:val="006B154C"/>
    <w:rsid w:val="006B1872"/>
    <w:rsid w:val="006B3F78"/>
    <w:rsid w:val="006B4D65"/>
    <w:rsid w:val="006B5C08"/>
    <w:rsid w:val="006B79B6"/>
    <w:rsid w:val="006B7AA8"/>
    <w:rsid w:val="006C071F"/>
    <w:rsid w:val="006C07E3"/>
    <w:rsid w:val="006C129B"/>
    <w:rsid w:val="006C1F14"/>
    <w:rsid w:val="006C210B"/>
    <w:rsid w:val="006C242B"/>
    <w:rsid w:val="006C2456"/>
    <w:rsid w:val="006C3328"/>
    <w:rsid w:val="006C3C7E"/>
    <w:rsid w:val="006C406E"/>
    <w:rsid w:val="006C5BA6"/>
    <w:rsid w:val="006C5D63"/>
    <w:rsid w:val="006C6919"/>
    <w:rsid w:val="006C7FF9"/>
    <w:rsid w:val="006D08F9"/>
    <w:rsid w:val="006D24F8"/>
    <w:rsid w:val="006D2910"/>
    <w:rsid w:val="006D2AA3"/>
    <w:rsid w:val="006D3541"/>
    <w:rsid w:val="006D3E5C"/>
    <w:rsid w:val="006D5262"/>
    <w:rsid w:val="006D52EB"/>
    <w:rsid w:val="006D60BF"/>
    <w:rsid w:val="006D65E2"/>
    <w:rsid w:val="006D6D5E"/>
    <w:rsid w:val="006D748B"/>
    <w:rsid w:val="006D7B31"/>
    <w:rsid w:val="006E0379"/>
    <w:rsid w:val="006E11D1"/>
    <w:rsid w:val="006E3146"/>
    <w:rsid w:val="006E3202"/>
    <w:rsid w:val="006E3F28"/>
    <w:rsid w:val="006E43A0"/>
    <w:rsid w:val="006E5E4F"/>
    <w:rsid w:val="006E65C8"/>
    <w:rsid w:val="006E6CCB"/>
    <w:rsid w:val="006E6F17"/>
    <w:rsid w:val="006F029B"/>
    <w:rsid w:val="006F1877"/>
    <w:rsid w:val="006F4586"/>
    <w:rsid w:val="006F5125"/>
    <w:rsid w:val="006F7F1C"/>
    <w:rsid w:val="00700D5B"/>
    <w:rsid w:val="00701456"/>
    <w:rsid w:val="00702670"/>
    <w:rsid w:val="007032F1"/>
    <w:rsid w:val="0070412E"/>
    <w:rsid w:val="0070451E"/>
    <w:rsid w:val="00704619"/>
    <w:rsid w:val="0070473B"/>
    <w:rsid w:val="00705E94"/>
    <w:rsid w:val="00710732"/>
    <w:rsid w:val="00714784"/>
    <w:rsid w:val="007156E1"/>
    <w:rsid w:val="00715D84"/>
    <w:rsid w:val="00717CA1"/>
    <w:rsid w:val="00720A80"/>
    <w:rsid w:val="0072336D"/>
    <w:rsid w:val="00725488"/>
    <w:rsid w:val="00726DA4"/>
    <w:rsid w:val="00726E1C"/>
    <w:rsid w:val="0072715B"/>
    <w:rsid w:val="00730492"/>
    <w:rsid w:val="00730D2D"/>
    <w:rsid w:val="00732031"/>
    <w:rsid w:val="00733BCA"/>
    <w:rsid w:val="00734D20"/>
    <w:rsid w:val="00735C36"/>
    <w:rsid w:val="00736343"/>
    <w:rsid w:val="0073683D"/>
    <w:rsid w:val="00736FCA"/>
    <w:rsid w:val="00737871"/>
    <w:rsid w:val="007404BC"/>
    <w:rsid w:val="00740632"/>
    <w:rsid w:val="007430A4"/>
    <w:rsid w:val="007435B1"/>
    <w:rsid w:val="00743C9D"/>
    <w:rsid w:val="00743D5B"/>
    <w:rsid w:val="00744C63"/>
    <w:rsid w:val="0074542C"/>
    <w:rsid w:val="00746B15"/>
    <w:rsid w:val="00751155"/>
    <w:rsid w:val="00751785"/>
    <w:rsid w:val="00751F34"/>
    <w:rsid w:val="00752FC8"/>
    <w:rsid w:val="00753750"/>
    <w:rsid w:val="007537D7"/>
    <w:rsid w:val="00753C52"/>
    <w:rsid w:val="0075409E"/>
    <w:rsid w:val="007541B1"/>
    <w:rsid w:val="0075501D"/>
    <w:rsid w:val="00755DD1"/>
    <w:rsid w:val="0075684B"/>
    <w:rsid w:val="00760F96"/>
    <w:rsid w:val="00761007"/>
    <w:rsid w:val="00762320"/>
    <w:rsid w:val="007640EE"/>
    <w:rsid w:val="007643E6"/>
    <w:rsid w:val="007648CF"/>
    <w:rsid w:val="0076529F"/>
    <w:rsid w:val="00765AF7"/>
    <w:rsid w:val="00765D1F"/>
    <w:rsid w:val="0076773A"/>
    <w:rsid w:val="007711D1"/>
    <w:rsid w:val="007716C7"/>
    <w:rsid w:val="00771766"/>
    <w:rsid w:val="00772426"/>
    <w:rsid w:val="00772825"/>
    <w:rsid w:val="00775AAB"/>
    <w:rsid w:val="007804A9"/>
    <w:rsid w:val="007814DA"/>
    <w:rsid w:val="00781BDF"/>
    <w:rsid w:val="007826E0"/>
    <w:rsid w:val="00782954"/>
    <w:rsid w:val="00782C67"/>
    <w:rsid w:val="0078558C"/>
    <w:rsid w:val="007862F1"/>
    <w:rsid w:val="00786CAF"/>
    <w:rsid w:val="00787ADE"/>
    <w:rsid w:val="00787C11"/>
    <w:rsid w:val="00790F23"/>
    <w:rsid w:val="0079321E"/>
    <w:rsid w:val="007943EE"/>
    <w:rsid w:val="00794AF2"/>
    <w:rsid w:val="00794C63"/>
    <w:rsid w:val="007A1E58"/>
    <w:rsid w:val="007A2220"/>
    <w:rsid w:val="007A26BF"/>
    <w:rsid w:val="007A3B47"/>
    <w:rsid w:val="007A3C4E"/>
    <w:rsid w:val="007A471F"/>
    <w:rsid w:val="007A5DA4"/>
    <w:rsid w:val="007A63A7"/>
    <w:rsid w:val="007A6505"/>
    <w:rsid w:val="007A6A4A"/>
    <w:rsid w:val="007A7FBD"/>
    <w:rsid w:val="007B06D5"/>
    <w:rsid w:val="007B0E0D"/>
    <w:rsid w:val="007B23A2"/>
    <w:rsid w:val="007B32D9"/>
    <w:rsid w:val="007B35C0"/>
    <w:rsid w:val="007B48FB"/>
    <w:rsid w:val="007B59D6"/>
    <w:rsid w:val="007C2FDC"/>
    <w:rsid w:val="007C30D2"/>
    <w:rsid w:val="007C40BF"/>
    <w:rsid w:val="007C5233"/>
    <w:rsid w:val="007C5A5E"/>
    <w:rsid w:val="007C5DB4"/>
    <w:rsid w:val="007C60AB"/>
    <w:rsid w:val="007C6574"/>
    <w:rsid w:val="007C6DB9"/>
    <w:rsid w:val="007C7DA7"/>
    <w:rsid w:val="007C7FB1"/>
    <w:rsid w:val="007D0D20"/>
    <w:rsid w:val="007D12C3"/>
    <w:rsid w:val="007D25C7"/>
    <w:rsid w:val="007D3CFE"/>
    <w:rsid w:val="007D3D90"/>
    <w:rsid w:val="007D4230"/>
    <w:rsid w:val="007D4947"/>
    <w:rsid w:val="007D7701"/>
    <w:rsid w:val="007E0A5D"/>
    <w:rsid w:val="007E2983"/>
    <w:rsid w:val="007E2FE7"/>
    <w:rsid w:val="007E3537"/>
    <w:rsid w:val="007E41D7"/>
    <w:rsid w:val="007E6172"/>
    <w:rsid w:val="007E656B"/>
    <w:rsid w:val="007E75E4"/>
    <w:rsid w:val="007E7AEF"/>
    <w:rsid w:val="007F0C2D"/>
    <w:rsid w:val="007F103E"/>
    <w:rsid w:val="007F238B"/>
    <w:rsid w:val="007F55EE"/>
    <w:rsid w:val="007F5C9A"/>
    <w:rsid w:val="007F6608"/>
    <w:rsid w:val="007F6EA7"/>
    <w:rsid w:val="007F7EED"/>
    <w:rsid w:val="0080027F"/>
    <w:rsid w:val="008022B5"/>
    <w:rsid w:val="00802A10"/>
    <w:rsid w:val="00803207"/>
    <w:rsid w:val="00803C78"/>
    <w:rsid w:val="0080489B"/>
    <w:rsid w:val="00804992"/>
    <w:rsid w:val="008052FA"/>
    <w:rsid w:val="00805511"/>
    <w:rsid w:val="00805A21"/>
    <w:rsid w:val="008065E6"/>
    <w:rsid w:val="00806FB9"/>
    <w:rsid w:val="0081136D"/>
    <w:rsid w:val="008140FB"/>
    <w:rsid w:val="00814E26"/>
    <w:rsid w:val="00815371"/>
    <w:rsid w:val="008153A0"/>
    <w:rsid w:val="008164DD"/>
    <w:rsid w:val="00816EF3"/>
    <w:rsid w:val="00817C55"/>
    <w:rsid w:val="00820404"/>
    <w:rsid w:val="00821BD0"/>
    <w:rsid w:val="00822026"/>
    <w:rsid w:val="00822095"/>
    <w:rsid w:val="008230EC"/>
    <w:rsid w:val="00825813"/>
    <w:rsid w:val="008264AA"/>
    <w:rsid w:val="00826AEB"/>
    <w:rsid w:val="0083301A"/>
    <w:rsid w:val="008346C0"/>
    <w:rsid w:val="008348E4"/>
    <w:rsid w:val="008361FA"/>
    <w:rsid w:val="008374FB"/>
    <w:rsid w:val="00837EDF"/>
    <w:rsid w:val="008426D0"/>
    <w:rsid w:val="00843A33"/>
    <w:rsid w:val="00844166"/>
    <w:rsid w:val="00844B69"/>
    <w:rsid w:val="00845E2E"/>
    <w:rsid w:val="008460FF"/>
    <w:rsid w:val="00847E1B"/>
    <w:rsid w:val="008501EF"/>
    <w:rsid w:val="0085086E"/>
    <w:rsid w:val="00851D17"/>
    <w:rsid w:val="00855610"/>
    <w:rsid w:val="00856570"/>
    <w:rsid w:val="00856578"/>
    <w:rsid w:val="008565CA"/>
    <w:rsid w:val="008569F1"/>
    <w:rsid w:val="008578BC"/>
    <w:rsid w:val="00857A58"/>
    <w:rsid w:val="00860C0F"/>
    <w:rsid w:val="008631FF"/>
    <w:rsid w:val="00864139"/>
    <w:rsid w:val="00866578"/>
    <w:rsid w:val="008677BE"/>
    <w:rsid w:val="00867B51"/>
    <w:rsid w:val="008700D7"/>
    <w:rsid w:val="008701D7"/>
    <w:rsid w:val="00870651"/>
    <w:rsid w:val="00870A49"/>
    <w:rsid w:val="00870C96"/>
    <w:rsid w:val="00871F2B"/>
    <w:rsid w:val="00873C7F"/>
    <w:rsid w:val="0087478F"/>
    <w:rsid w:val="00874C49"/>
    <w:rsid w:val="008762F6"/>
    <w:rsid w:val="008768AD"/>
    <w:rsid w:val="00876B87"/>
    <w:rsid w:val="00880CF9"/>
    <w:rsid w:val="008851C2"/>
    <w:rsid w:val="00885459"/>
    <w:rsid w:val="00887156"/>
    <w:rsid w:val="008873F7"/>
    <w:rsid w:val="00887DFE"/>
    <w:rsid w:val="00887F8E"/>
    <w:rsid w:val="008902BE"/>
    <w:rsid w:val="008902FF"/>
    <w:rsid w:val="0089040B"/>
    <w:rsid w:val="00890795"/>
    <w:rsid w:val="008907E9"/>
    <w:rsid w:val="0089343F"/>
    <w:rsid w:val="00894436"/>
    <w:rsid w:val="00897769"/>
    <w:rsid w:val="00897DBA"/>
    <w:rsid w:val="008A07FF"/>
    <w:rsid w:val="008A0CF2"/>
    <w:rsid w:val="008A2203"/>
    <w:rsid w:val="008A2580"/>
    <w:rsid w:val="008A2D7B"/>
    <w:rsid w:val="008A4750"/>
    <w:rsid w:val="008A581E"/>
    <w:rsid w:val="008A5FD5"/>
    <w:rsid w:val="008A614F"/>
    <w:rsid w:val="008A6BAA"/>
    <w:rsid w:val="008A6DDA"/>
    <w:rsid w:val="008A7FC2"/>
    <w:rsid w:val="008B07BE"/>
    <w:rsid w:val="008B0B4F"/>
    <w:rsid w:val="008B0E3E"/>
    <w:rsid w:val="008B1176"/>
    <w:rsid w:val="008B2B89"/>
    <w:rsid w:val="008B42A3"/>
    <w:rsid w:val="008B5167"/>
    <w:rsid w:val="008B72A5"/>
    <w:rsid w:val="008C100D"/>
    <w:rsid w:val="008C2BFB"/>
    <w:rsid w:val="008C2CB8"/>
    <w:rsid w:val="008C4B4B"/>
    <w:rsid w:val="008C64D7"/>
    <w:rsid w:val="008C79DF"/>
    <w:rsid w:val="008C7AD0"/>
    <w:rsid w:val="008D0CC3"/>
    <w:rsid w:val="008D18A1"/>
    <w:rsid w:val="008D2887"/>
    <w:rsid w:val="008D3A5C"/>
    <w:rsid w:val="008D3C86"/>
    <w:rsid w:val="008D4D31"/>
    <w:rsid w:val="008D53AE"/>
    <w:rsid w:val="008D5D0F"/>
    <w:rsid w:val="008D6CA2"/>
    <w:rsid w:val="008E0D06"/>
    <w:rsid w:val="008E2462"/>
    <w:rsid w:val="008E272F"/>
    <w:rsid w:val="008E2A08"/>
    <w:rsid w:val="008E4804"/>
    <w:rsid w:val="008E4D53"/>
    <w:rsid w:val="008E666F"/>
    <w:rsid w:val="008E6A8B"/>
    <w:rsid w:val="008F004C"/>
    <w:rsid w:val="008F01ED"/>
    <w:rsid w:val="008F05F4"/>
    <w:rsid w:val="008F09B0"/>
    <w:rsid w:val="008F12DD"/>
    <w:rsid w:val="008F4D08"/>
    <w:rsid w:val="008F5600"/>
    <w:rsid w:val="008F5AE5"/>
    <w:rsid w:val="008F5EE9"/>
    <w:rsid w:val="008F61E8"/>
    <w:rsid w:val="008F6928"/>
    <w:rsid w:val="008F6E5A"/>
    <w:rsid w:val="009005CC"/>
    <w:rsid w:val="00901CC8"/>
    <w:rsid w:val="00902770"/>
    <w:rsid w:val="00902EAC"/>
    <w:rsid w:val="00905B2C"/>
    <w:rsid w:val="00905F75"/>
    <w:rsid w:val="009112E8"/>
    <w:rsid w:val="009143DD"/>
    <w:rsid w:val="0091489E"/>
    <w:rsid w:val="00915207"/>
    <w:rsid w:val="00916FBA"/>
    <w:rsid w:val="00917582"/>
    <w:rsid w:val="009177AA"/>
    <w:rsid w:val="00917BD4"/>
    <w:rsid w:val="00921002"/>
    <w:rsid w:val="00922798"/>
    <w:rsid w:val="009229BF"/>
    <w:rsid w:val="009237BE"/>
    <w:rsid w:val="00923CDB"/>
    <w:rsid w:val="0092453C"/>
    <w:rsid w:val="00924754"/>
    <w:rsid w:val="00924CB7"/>
    <w:rsid w:val="0092594D"/>
    <w:rsid w:val="009310A0"/>
    <w:rsid w:val="0093117E"/>
    <w:rsid w:val="009324D1"/>
    <w:rsid w:val="00933AB4"/>
    <w:rsid w:val="00936469"/>
    <w:rsid w:val="00936538"/>
    <w:rsid w:val="00940472"/>
    <w:rsid w:val="0094391F"/>
    <w:rsid w:val="0094410A"/>
    <w:rsid w:val="00945569"/>
    <w:rsid w:val="0094560C"/>
    <w:rsid w:val="009463BB"/>
    <w:rsid w:val="00946CD5"/>
    <w:rsid w:val="00951614"/>
    <w:rsid w:val="009521D7"/>
    <w:rsid w:val="009528B7"/>
    <w:rsid w:val="00952D4F"/>
    <w:rsid w:val="00953D25"/>
    <w:rsid w:val="00954A86"/>
    <w:rsid w:val="00960934"/>
    <w:rsid w:val="00960BA7"/>
    <w:rsid w:val="009619DD"/>
    <w:rsid w:val="009621E6"/>
    <w:rsid w:val="0096298B"/>
    <w:rsid w:val="009639EE"/>
    <w:rsid w:val="00964D30"/>
    <w:rsid w:val="00965084"/>
    <w:rsid w:val="00965640"/>
    <w:rsid w:val="0096587E"/>
    <w:rsid w:val="00966637"/>
    <w:rsid w:val="009672D0"/>
    <w:rsid w:val="0097020E"/>
    <w:rsid w:val="00972E90"/>
    <w:rsid w:val="00973FC1"/>
    <w:rsid w:val="00975787"/>
    <w:rsid w:val="00975BFF"/>
    <w:rsid w:val="009774E3"/>
    <w:rsid w:val="009776D3"/>
    <w:rsid w:val="00981998"/>
    <w:rsid w:val="009846AA"/>
    <w:rsid w:val="00984B2C"/>
    <w:rsid w:val="00984BEB"/>
    <w:rsid w:val="00984C60"/>
    <w:rsid w:val="009853A3"/>
    <w:rsid w:val="00985C9A"/>
    <w:rsid w:val="0098618F"/>
    <w:rsid w:val="00986248"/>
    <w:rsid w:val="00986D7A"/>
    <w:rsid w:val="00987925"/>
    <w:rsid w:val="00991657"/>
    <w:rsid w:val="009920AD"/>
    <w:rsid w:val="009924B4"/>
    <w:rsid w:val="00992FB5"/>
    <w:rsid w:val="0099319C"/>
    <w:rsid w:val="0099330B"/>
    <w:rsid w:val="00996419"/>
    <w:rsid w:val="00996E8B"/>
    <w:rsid w:val="00996F77"/>
    <w:rsid w:val="00997930"/>
    <w:rsid w:val="009A1E73"/>
    <w:rsid w:val="009A2CA3"/>
    <w:rsid w:val="009A2ED9"/>
    <w:rsid w:val="009A33AA"/>
    <w:rsid w:val="009A3DF4"/>
    <w:rsid w:val="009A515D"/>
    <w:rsid w:val="009A5261"/>
    <w:rsid w:val="009A53D2"/>
    <w:rsid w:val="009A59BD"/>
    <w:rsid w:val="009B0D8D"/>
    <w:rsid w:val="009B1B84"/>
    <w:rsid w:val="009B2CDF"/>
    <w:rsid w:val="009B474E"/>
    <w:rsid w:val="009B48DC"/>
    <w:rsid w:val="009B55A5"/>
    <w:rsid w:val="009B626F"/>
    <w:rsid w:val="009C000B"/>
    <w:rsid w:val="009C16BB"/>
    <w:rsid w:val="009C2E96"/>
    <w:rsid w:val="009C2FAD"/>
    <w:rsid w:val="009C406C"/>
    <w:rsid w:val="009C4EE7"/>
    <w:rsid w:val="009C68C3"/>
    <w:rsid w:val="009D2625"/>
    <w:rsid w:val="009D3602"/>
    <w:rsid w:val="009D4912"/>
    <w:rsid w:val="009D4E3C"/>
    <w:rsid w:val="009D583F"/>
    <w:rsid w:val="009D5EFC"/>
    <w:rsid w:val="009D7A61"/>
    <w:rsid w:val="009E0139"/>
    <w:rsid w:val="009E0D73"/>
    <w:rsid w:val="009E1D82"/>
    <w:rsid w:val="009E1E3D"/>
    <w:rsid w:val="009E21BC"/>
    <w:rsid w:val="009E236F"/>
    <w:rsid w:val="009E3BDF"/>
    <w:rsid w:val="009E58B1"/>
    <w:rsid w:val="009E5E08"/>
    <w:rsid w:val="009E6931"/>
    <w:rsid w:val="009E7918"/>
    <w:rsid w:val="009E7E7E"/>
    <w:rsid w:val="009F0043"/>
    <w:rsid w:val="009F018B"/>
    <w:rsid w:val="009F03D5"/>
    <w:rsid w:val="009F0500"/>
    <w:rsid w:val="009F2F84"/>
    <w:rsid w:val="009F41D3"/>
    <w:rsid w:val="009F56FB"/>
    <w:rsid w:val="009F5E67"/>
    <w:rsid w:val="009F60E1"/>
    <w:rsid w:val="009F65FF"/>
    <w:rsid w:val="00A005DC"/>
    <w:rsid w:val="00A02191"/>
    <w:rsid w:val="00A03B0A"/>
    <w:rsid w:val="00A04088"/>
    <w:rsid w:val="00A045E5"/>
    <w:rsid w:val="00A05FFB"/>
    <w:rsid w:val="00A0697A"/>
    <w:rsid w:val="00A074D0"/>
    <w:rsid w:val="00A07D29"/>
    <w:rsid w:val="00A07FD9"/>
    <w:rsid w:val="00A100E1"/>
    <w:rsid w:val="00A10549"/>
    <w:rsid w:val="00A105F4"/>
    <w:rsid w:val="00A1177A"/>
    <w:rsid w:val="00A121DD"/>
    <w:rsid w:val="00A14DA7"/>
    <w:rsid w:val="00A1616C"/>
    <w:rsid w:val="00A163A6"/>
    <w:rsid w:val="00A20109"/>
    <w:rsid w:val="00A22D99"/>
    <w:rsid w:val="00A3092E"/>
    <w:rsid w:val="00A30983"/>
    <w:rsid w:val="00A30AB1"/>
    <w:rsid w:val="00A32060"/>
    <w:rsid w:val="00A3345C"/>
    <w:rsid w:val="00A358AF"/>
    <w:rsid w:val="00A40414"/>
    <w:rsid w:val="00A40A80"/>
    <w:rsid w:val="00A41DBF"/>
    <w:rsid w:val="00A426FD"/>
    <w:rsid w:val="00A43A1F"/>
    <w:rsid w:val="00A4466B"/>
    <w:rsid w:val="00A446B8"/>
    <w:rsid w:val="00A44EFD"/>
    <w:rsid w:val="00A4566F"/>
    <w:rsid w:val="00A46243"/>
    <w:rsid w:val="00A472BA"/>
    <w:rsid w:val="00A47F68"/>
    <w:rsid w:val="00A50B19"/>
    <w:rsid w:val="00A515D2"/>
    <w:rsid w:val="00A536FE"/>
    <w:rsid w:val="00A53B80"/>
    <w:rsid w:val="00A547E9"/>
    <w:rsid w:val="00A54AD2"/>
    <w:rsid w:val="00A5522A"/>
    <w:rsid w:val="00A55486"/>
    <w:rsid w:val="00A55A23"/>
    <w:rsid w:val="00A55BA4"/>
    <w:rsid w:val="00A64DEE"/>
    <w:rsid w:val="00A64FC0"/>
    <w:rsid w:val="00A65690"/>
    <w:rsid w:val="00A665D1"/>
    <w:rsid w:val="00A66B21"/>
    <w:rsid w:val="00A67514"/>
    <w:rsid w:val="00A71D7F"/>
    <w:rsid w:val="00A72987"/>
    <w:rsid w:val="00A73D3D"/>
    <w:rsid w:val="00A7563A"/>
    <w:rsid w:val="00A75690"/>
    <w:rsid w:val="00A75F74"/>
    <w:rsid w:val="00A764B2"/>
    <w:rsid w:val="00A77297"/>
    <w:rsid w:val="00A80BFF"/>
    <w:rsid w:val="00A8117B"/>
    <w:rsid w:val="00A82229"/>
    <w:rsid w:val="00A83149"/>
    <w:rsid w:val="00A83DCF"/>
    <w:rsid w:val="00A842BD"/>
    <w:rsid w:val="00A85189"/>
    <w:rsid w:val="00A856D0"/>
    <w:rsid w:val="00A86155"/>
    <w:rsid w:val="00A86769"/>
    <w:rsid w:val="00A877FA"/>
    <w:rsid w:val="00A87C0C"/>
    <w:rsid w:val="00A904F5"/>
    <w:rsid w:val="00A90D76"/>
    <w:rsid w:val="00A90E56"/>
    <w:rsid w:val="00A91236"/>
    <w:rsid w:val="00A92C75"/>
    <w:rsid w:val="00A93816"/>
    <w:rsid w:val="00A939A1"/>
    <w:rsid w:val="00A951E7"/>
    <w:rsid w:val="00A958EB"/>
    <w:rsid w:val="00AA0A5E"/>
    <w:rsid w:val="00AA0FCC"/>
    <w:rsid w:val="00AA148D"/>
    <w:rsid w:val="00AA1FF7"/>
    <w:rsid w:val="00AA2E5F"/>
    <w:rsid w:val="00AA3471"/>
    <w:rsid w:val="00AA38F9"/>
    <w:rsid w:val="00AA3CF1"/>
    <w:rsid w:val="00AA749C"/>
    <w:rsid w:val="00AB0075"/>
    <w:rsid w:val="00AB11DA"/>
    <w:rsid w:val="00AB1371"/>
    <w:rsid w:val="00AB1AB1"/>
    <w:rsid w:val="00AB4377"/>
    <w:rsid w:val="00AB5AB9"/>
    <w:rsid w:val="00AB6D43"/>
    <w:rsid w:val="00AC0B53"/>
    <w:rsid w:val="00AC133E"/>
    <w:rsid w:val="00AC13B5"/>
    <w:rsid w:val="00AC14BE"/>
    <w:rsid w:val="00AC1830"/>
    <w:rsid w:val="00AC1C5F"/>
    <w:rsid w:val="00AC2381"/>
    <w:rsid w:val="00AC29E6"/>
    <w:rsid w:val="00AC3183"/>
    <w:rsid w:val="00AC3F81"/>
    <w:rsid w:val="00AC4660"/>
    <w:rsid w:val="00AC59F2"/>
    <w:rsid w:val="00AC70AB"/>
    <w:rsid w:val="00AD05BD"/>
    <w:rsid w:val="00AD060D"/>
    <w:rsid w:val="00AD1D25"/>
    <w:rsid w:val="00AD2C23"/>
    <w:rsid w:val="00AD2CEA"/>
    <w:rsid w:val="00AD396B"/>
    <w:rsid w:val="00AD4627"/>
    <w:rsid w:val="00AD6EDA"/>
    <w:rsid w:val="00AD73D6"/>
    <w:rsid w:val="00AE026C"/>
    <w:rsid w:val="00AE29E5"/>
    <w:rsid w:val="00AE2E63"/>
    <w:rsid w:val="00AE4812"/>
    <w:rsid w:val="00AE4CC0"/>
    <w:rsid w:val="00AE53BA"/>
    <w:rsid w:val="00AE54C1"/>
    <w:rsid w:val="00AE5EA9"/>
    <w:rsid w:val="00AE65CE"/>
    <w:rsid w:val="00AE7CC4"/>
    <w:rsid w:val="00AE7D69"/>
    <w:rsid w:val="00AF13EA"/>
    <w:rsid w:val="00AF1D47"/>
    <w:rsid w:val="00AF25D4"/>
    <w:rsid w:val="00AF2EC4"/>
    <w:rsid w:val="00AF4575"/>
    <w:rsid w:val="00AF47FE"/>
    <w:rsid w:val="00AF4CC1"/>
    <w:rsid w:val="00AF55D3"/>
    <w:rsid w:val="00AF5613"/>
    <w:rsid w:val="00AF6A85"/>
    <w:rsid w:val="00AF7FF5"/>
    <w:rsid w:val="00B00292"/>
    <w:rsid w:val="00B0160B"/>
    <w:rsid w:val="00B0208B"/>
    <w:rsid w:val="00B02962"/>
    <w:rsid w:val="00B02CB2"/>
    <w:rsid w:val="00B03D67"/>
    <w:rsid w:val="00B0564A"/>
    <w:rsid w:val="00B0582F"/>
    <w:rsid w:val="00B05B29"/>
    <w:rsid w:val="00B07B67"/>
    <w:rsid w:val="00B07D79"/>
    <w:rsid w:val="00B07F2D"/>
    <w:rsid w:val="00B07F41"/>
    <w:rsid w:val="00B100A4"/>
    <w:rsid w:val="00B117F2"/>
    <w:rsid w:val="00B12192"/>
    <w:rsid w:val="00B1285C"/>
    <w:rsid w:val="00B137C1"/>
    <w:rsid w:val="00B13981"/>
    <w:rsid w:val="00B148A9"/>
    <w:rsid w:val="00B150BF"/>
    <w:rsid w:val="00B15A5A"/>
    <w:rsid w:val="00B169A5"/>
    <w:rsid w:val="00B16C61"/>
    <w:rsid w:val="00B16CB4"/>
    <w:rsid w:val="00B170B4"/>
    <w:rsid w:val="00B20564"/>
    <w:rsid w:val="00B209B3"/>
    <w:rsid w:val="00B209D5"/>
    <w:rsid w:val="00B21C5B"/>
    <w:rsid w:val="00B229A4"/>
    <w:rsid w:val="00B22D44"/>
    <w:rsid w:val="00B2354A"/>
    <w:rsid w:val="00B235A1"/>
    <w:rsid w:val="00B235BE"/>
    <w:rsid w:val="00B2398B"/>
    <w:rsid w:val="00B26460"/>
    <w:rsid w:val="00B26B89"/>
    <w:rsid w:val="00B26E40"/>
    <w:rsid w:val="00B3339E"/>
    <w:rsid w:val="00B344C0"/>
    <w:rsid w:val="00B3633C"/>
    <w:rsid w:val="00B36C25"/>
    <w:rsid w:val="00B36CB0"/>
    <w:rsid w:val="00B40093"/>
    <w:rsid w:val="00B4055A"/>
    <w:rsid w:val="00B41198"/>
    <w:rsid w:val="00B4141C"/>
    <w:rsid w:val="00B41936"/>
    <w:rsid w:val="00B41C05"/>
    <w:rsid w:val="00B41F17"/>
    <w:rsid w:val="00B44E5E"/>
    <w:rsid w:val="00B44FA6"/>
    <w:rsid w:val="00B45237"/>
    <w:rsid w:val="00B46184"/>
    <w:rsid w:val="00B46437"/>
    <w:rsid w:val="00B47AA1"/>
    <w:rsid w:val="00B5227F"/>
    <w:rsid w:val="00B5295F"/>
    <w:rsid w:val="00B52B94"/>
    <w:rsid w:val="00B52F02"/>
    <w:rsid w:val="00B53029"/>
    <w:rsid w:val="00B532DE"/>
    <w:rsid w:val="00B53D00"/>
    <w:rsid w:val="00B53F1E"/>
    <w:rsid w:val="00B559A9"/>
    <w:rsid w:val="00B6209D"/>
    <w:rsid w:val="00B62284"/>
    <w:rsid w:val="00B62742"/>
    <w:rsid w:val="00B62FEB"/>
    <w:rsid w:val="00B63CC0"/>
    <w:rsid w:val="00B6468A"/>
    <w:rsid w:val="00B70C85"/>
    <w:rsid w:val="00B71520"/>
    <w:rsid w:val="00B71C61"/>
    <w:rsid w:val="00B7232E"/>
    <w:rsid w:val="00B72771"/>
    <w:rsid w:val="00B728CC"/>
    <w:rsid w:val="00B74DD6"/>
    <w:rsid w:val="00B755B7"/>
    <w:rsid w:val="00B770FB"/>
    <w:rsid w:val="00B77B27"/>
    <w:rsid w:val="00B80C6C"/>
    <w:rsid w:val="00B81C1A"/>
    <w:rsid w:val="00B82177"/>
    <w:rsid w:val="00B8295C"/>
    <w:rsid w:val="00B82DD1"/>
    <w:rsid w:val="00B82F04"/>
    <w:rsid w:val="00B850E7"/>
    <w:rsid w:val="00B85459"/>
    <w:rsid w:val="00B86AE0"/>
    <w:rsid w:val="00B86FBB"/>
    <w:rsid w:val="00B90C3B"/>
    <w:rsid w:val="00B95B47"/>
    <w:rsid w:val="00BA18C9"/>
    <w:rsid w:val="00BA2CA7"/>
    <w:rsid w:val="00BA463B"/>
    <w:rsid w:val="00BA497F"/>
    <w:rsid w:val="00BA4ACD"/>
    <w:rsid w:val="00BA4CEA"/>
    <w:rsid w:val="00BA4E57"/>
    <w:rsid w:val="00BA5147"/>
    <w:rsid w:val="00BA63BA"/>
    <w:rsid w:val="00BA78A3"/>
    <w:rsid w:val="00BB1B48"/>
    <w:rsid w:val="00BB1E7C"/>
    <w:rsid w:val="00BB43C7"/>
    <w:rsid w:val="00BB593A"/>
    <w:rsid w:val="00BB6B80"/>
    <w:rsid w:val="00BB7B56"/>
    <w:rsid w:val="00BC093D"/>
    <w:rsid w:val="00BC1129"/>
    <w:rsid w:val="00BC118B"/>
    <w:rsid w:val="00BC160C"/>
    <w:rsid w:val="00BC1713"/>
    <w:rsid w:val="00BC18DA"/>
    <w:rsid w:val="00BC216E"/>
    <w:rsid w:val="00BC2FA6"/>
    <w:rsid w:val="00BC3813"/>
    <w:rsid w:val="00BC3A17"/>
    <w:rsid w:val="00BC3CEA"/>
    <w:rsid w:val="00BC4950"/>
    <w:rsid w:val="00BC530B"/>
    <w:rsid w:val="00BC6AB1"/>
    <w:rsid w:val="00BD1D18"/>
    <w:rsid w:val="00BD4A0F"/>
    <w:rsid w:val="00BD4E6E"/>
    <w:rsid w:val="00BD5E44"/>
    <w:rsid w:val="00BE1EEF"/>
    <w:rsid w:val="00BE2DBD"/>
    <w:rsid w:val="00BE57D9"/>
    <w:rsid w:val="00BE6303"/>
    <w:rsid w:val="00BE684A"/>
    <w:rsid w:val="00BF0505"/>
    <w:rsid w:val="00BF0EDA"/>
    <w:rsid w:val="00BF1F3E"/>
    <w:rsid w:val="00BF22A1"/>
    <w:rsid w:val="00BF3294"/>
    <w:rsid w:val="00BF470A"/>
    <w:rsid w:val="00BF5CB8"/>
    <w:rsid w:val="00BF70A2"/>
    <w:rsid w:val="00C003F9"/>
    <w:rsid w:val="00C02E02"/>
    <w:rsid w:val="00C047AF"/>
    <w:rsid w:val="00C05F1D"/>
    <w:rsid w:val="00C07117"/>
    <w:rsid w:val="00C072DE"/>
    <w:rsid w:val="00C118C1"/>
    <w:rsid w:val="00C11E56"/>
    <w:rsid w:val="00C13A71"/>
    <w:rsid w:val="00C15702"/>
    <w:rsid w:val="00C172B5"/>
    <w:rsid w:val="00C17E08"/>
    <w:rsid w:val="00C20F98"/>
    <w:rsid w:val="00C21908"/>
    <w:rsid w:val="00C2196C"/>
    <w:rsid w:val="00C22962"/>
    <w:rsid w:val="00C22DCA"/>
    <w:rsid w:val="00C23B4C"/>
    <w:rsid w:val="00C26C39"/>
    <w:rsid w:val="00C26FEB"/>
    <w:rsid w:val="00C2710A"/>
    <w:rsid w:val="00C27BDF"/>
    <w:rsid w:val="00C30964"/>
    <w:rsid w:val="00C30C40"/>
    <w:rsid w:val="00C318D4"/>
    <w:rsid w:val="00C31B0B"/>
    <w:rsid w:val="00C33281"/>
    <w:rsid w:val="00C33417"/>
    <w:rsid w:val="00C34040"/>
    <w:rsid w:val="00C34697"/>
    <w:rsid w:val="00C36502"/>
    <w:rsid w:val="00C3711F"/>
    <w:rsid w:val="00C37682"/>
    <w:rsid w:val="00C37799"/>
    <w:rsid w:val="00C37A5C"/>
    <w:rsid w:val="00C40828"/>
    <w:rsid w:val="00C40C30"/>
    <w:rsid w:val="00C42F86"/>
    <w:rsid w:val="00C445E7"/>
    <w:rsid w:val="00C46756"/>
    <w:rsid w:val="00C46EC2"/>
    <w:rsid w:val="00C47DCF"/>
    <w:rsid w:val="00C50BFF"/>
    <w:rsid w:val="00C54181"/>
    <w:rsid w:val="00C566EB"/>
    <w:rsid w:val="00C568BC"/>
    <w:rsid w:val="00C6167D"/>
    <w:rsid w:val="00C618D7"/>
    <w:rsid w:val="00C635F8"/>
    <w:rsid w:val="00C657FB"/>
    <w:rsid w:val="00C658BC"/>
    <w:rsid w:val="00C6697C"/>
    <w:rsid w:val="00C6722D"/>
    <w:rsid w:val="00C677CF"/>
    <w:rsid w:val="00C7120E"/>
    <w:rsid w:val="00C72C52"/>
    <w:rsid w:val="00C75216"/>
    <w:rsid w:val="00C75C9F"/>
    <w:rsid w:val="00C75FC7"/>
    <w:rsid w:val="00C76435"/>
    <w:rsid w:val="00C7650F"/>
    <w:rsid w:val="00C7681B"/>
    <w:rsid w:val="00C77B46"/>
    <w:rsid w:val="00C817C6"/>
    <w:rsid w:val="00C81BF0"/>
    <w:rsid w:val="00C840AC"/>
    <w:rsid w:val="00C84961"/>
    <w:rsid w:val="00C87512"/>
    <w:rsid w:val="00C87E00"/>
    <w:rsid w:val="00C87F28"/>
    <w:rsid w:val="00C904DA"/>
    <w:rsid w:val="00C90781"/>
    <w:rsid w:val="00C94B0B"/>
    <w:rsid w:val="00C952BC"/>
    <w:rsid w:val="00C96A43"/>
    <w:rsid w:val="00C9783E"/>
    <w:rsid w:val="00CA009E"/>
    <w:rsid w:val="00CA036B"/>
    <w:rsid w:val="00CA0665"/>
    <w:rsid w:val="00CA1CD2"/>
    <w:rsid w:val="00CA2464"/>
    <w:rsid w:val="00CA24B4"/>
    <w:rsid w:val="00CA26DC"/>
    <w:rsid w:val="00CA276C"/>
    <w:rsid w:val="00CA43C1"/>
    <w:rsid w:val="00CA4CB5"/>
    <w:rsid w:val="00CA59E3"/>
    <w:rsid w:val="00CA5B3A"/>
    <w:rsid w:val="00CB13B4"/>
    <w:rsid w:val="00CB1B69"/>
    <w:rsid w:val="00CB226D"/>
    <w:rsid w:val="00CB457A"/>
    <w:rsid w:val="00CB57A0"/>
    <w:rsid w:val="00CB5931"/>
    <w:rsid w:val="00CB647B"/>
    <w:rsid w:val="00CB657C"/>
    <w:rsid w:val="00CB6A6A"/>
    <w:rsid w:val="00CB70F0"/>
    <w:rsid w:val="00CB789E"/>
    <w:rsid w:val="00CC055A"/>
    <w:rsid w:val="00CC2D58"/>
    <w:rsid w:val="00CC2F57"/>
    <w:rsid w:val="00CD007C"/>
    <w:rsid w:val="00CD0D9F"/>
    <w:rsid w:val="00CD1B6C"/>
    <w:rsid w:val="00CD2AF0"/>
    <w:rsid w:val="00CD4F50"/>
    <w:rsid w:val="00CD6B3E"/>
    <w:rsid w:val="00CD6F28"/>
    <w:rsid w:val="00CD6F82"/>
    <w:rsid w:val="00CD7E98"/>
    <w:rsid w:val="00CE2F50"/>
    <w:rsid w:val="00CE3C70"/>
    <w:rsid w:val="00CE450A"/>
    <w:rsid w:val="00CE4896"/>
    <w:rsid w:val="00CE4C17"/>
    <w:rsid w:val="00CE5204"/>
    <w:rsid w:val="00CE73A9"/>
    <w:rsid w:val="00CE7B76"/>
    <w:rsid w:val="00CF0AEC"/>
    <w:rsid w:val="00CF15A1"/>
    <w:rsid w:val="00CF21FA"/>
    <w:rsid w:val="00CF2A4D"/>
    <w:rsid w:val="00CF2A9B"/>
    <w:rsid w:val="00CF35A4"/>
    <w:rsid w:val="00CF3850"/>
    <w:rsid w:val="00CF4BF5"/>
    <w:rsid w:val="00CF4DFD"/>
    <w:rsid w:val="00CF4EF1"/>
    <w:rsid w:val="00CF5B0F"/>
    <w:rsid w:val="00CF7641"/>
    <w:rsid w:val="00CF78A0"/>
    <w:rsid w:val="00CF79B7"/>
    <w:rsid w:val="00D015A5"/>
    <w:rsid w:val="00D0198B"/>
    <w:rsid w:val="00D02223"/>
    <w:rsid w:val="00D022F6"/>
    <w:rsid w:val="00D0241B"/>
    <w:rsid w:val="00D03694"/>
    <w:rsid w:val="00D044D3"/>
    <w:rsid w:val="00D05EE9"/>
    <w:rsid w:val="00D06270"/>
    <w:rsid w:val="00D0647D"/>
    <w:rsid w:val="00D076C0"/>
    <w:rsid w:val="00D1011C"/>
    <w:rsid w:val="00D10D4B"/>
    <w:rsid w:val="00D11751"/>
    <w:rsid w:val="00D12010"/>
    <w:rsid w:val="00D12F41"/>
    <w:rsid w:val="00D13195"/>
    <w:rsid w:val="00D149FE"/>
    <w:rsid w:val="00D16A6E"/>
    <w:rsid w:val="00D17EF3"/>
    <w:rsid w:val="00D201AA"/>
    <w:rsid w:val="00D20F90"/>
    <w:rsid w:val="00D2197F"/>
    <w:rsid w:val="00D23155"/>
    <w:rsid w:val="00D231D7"/>
    <w:rsid w:val="00D255BB"/>
    <w:rsid w:val="00D2576A"/>
    <w:rsid w:val="00D30954"/>
    <w:rsid w:val="00D309EB"/>
    <w:rsid w:val="00D311BA"/>
    <w:rsid w:val="00D31B18"/>
    <w:rsid w:val="00D33F0E"/>
    <w:rsid w:val="00D3574A"/>
    <w:rsid w:val="00D36A9C"/>
    <w:rsid w:val="00D416CF"/>
    <w:rsid w:val="00D41CA5"/>
    <w:rsid w:val="00D4431E"/>
    <w:rsid w:val="00D44E8F"/>
    <w:rsid w:val="00D45D21"/>
    <w:rsid w:val="00D45F7F"/>
    <w:rsid w:val="00D46060"/>
    <w:rsid w:val="00D46CAD"/>
    <w:rsid w:val="00D46E3A"/>
    <w:rsid w:val="00D47498"/>
    <w:rsid w:val="00D47DEA"/>
    <w:rsid w:val="00D51032"/>
    <w:rsid w:val="00D52357"/>
    <w:rsid w:val="00D54E30"/>
    <w:rsid w:val="00D55362"/>
    <w:rsid w:val="00D55FF4"/>
    <w:rsid w:val="00D560E9"/>
    <w:rsid w:val="00D56FC4"/>
    <w:rsid w:val="00D573ED"/>
    <w:rsid w:val="00D57E0C"/>
    <w:rsid w:val="00D603CD"/>
    <w:rsid w:val="00D60C55"/>
    <w:rsid w:val="00D61C7F"/>
    <w:rsid w:val="00D61D81"/>
    <w:rsid w:val="00D62743"/>
    <w:rsid w:val="00D64947"/>
    <w:rsid w:val="00D66A51"/>
    <w:rsid w:val="00D71B1B"/>
    <w:rsid w:val="00D71D0B"/>
    <w:rsid w:val="00D74242"/>
    <w:rsid w:val="00D74DE1"/>
    <w:rsid w:val="00D756F6"/>
    <w:rsid w:val="00D75DE2"/>
    <w:rsid w:val="00D808D7"/>
    <w:rsid w:val="00D80F4A"/>
    <w:rsid w:val="00D82B18"/>
    <w:rsid w:val="00D830AE"/>
    <w:rsid w:val="00D830B1"/>
    <w:rsid w:val="00D84347"/>
    <w:rsid w:val="00D8741B"/>
    <w:rsid w:val="00D879B7"/>
    <w:rsid w:val="00D87D81"/>
    <w:rsid w:val="00D90139"/>
    <w:rsid w:val="00D901FA"/>
    <w:rsid w:val="00D90C29"/>
    <w:rsid w:val="00D93DAE"/>
    <w:rsid w:val="00D948A0"/>
    <w:rsid w:val="00D94D36"/>
    <w:rsid w:val="00D95EF7"/>
    <w:rsid w:val="00D96475"/>
    <w:rsid w:val="00D96F6F"/>
    <w:rsid w:val="00D97733"/>
    <w:rsid w:val="00D978B6"/>
    <w:rsid w:val="00DA121D"/>
    <w:rsid w:val="00DA2C5A"/>
    <w:rsid w:val="00DA767C"/>
    <w:rsid w:val="00DA7ABA"/>
    <w:rsid w:val="00DA7DB5"/>
    <w:rsid w:val="00DB0EAB"/>
    <w:rsid w:val="00DB1808"/>
    <w:rsid w:val="00DB2205"/>
    <w:rsid w:val="00DB3C6E"/>
    <w:rsid w:val="00DB55E8"/>
    <w:rsid w:val="00DB5763"/>
    <w:rsid w:val="00DB6788"/>
    <w:rsid w:val="00DB7515"/>
    <w:rsid w:val="00DB7F6B"/>
    <w:rsid w:val="00DC044D"/>
    <w:rsid w:val="00DC1EFC"/>
    <w:rsid w:val="00DC3D5C"/>
    <w:rsid w:val="00DC5F6E"/>
    <w:rsid w:val="00DC5FA0"/>
    <w:rsid w:val="00DD07FB"/>
    <w:rsid w:val="00DD0D11"/>
    <w:rsid w:val="00DD1035"/>
    <w:rsid w:val="00DD1076"/>
    <w:rsid w:val="00DD1B13"/>
    <w:rsid w:val="00DD3B53"/>
    <w:rsid w:val="00DD4121"/>
    <w:rsid w:val="00DD55A7"/>
    <w:rsid w:val="00DD5FA6"/>
    <w:rsid w:val="00DD6CA8"/>
    <w:rsid w:val="00DD736E"/>
    <w:rsid w:val="00DD7D5E"/>
    <w:rsid w:val="00DE0FCB"/>
    <w:rsid w:val="00DE1257"/>
    <w:rsid w:val="00DE2B38"/>
    <w:rsid w:val="00DE39A5"/>
    <w:rsid w:val="00DE4332"/>
    <w:rsid w:val="00DE5223"/>
    <w:rsid w:val="00DE71AF"/>
    <w:rsid w:val="00DE7585"/>
    <w:rsid w:val="00DE7A2F"/>
    <w:rsid w:val="00DF0030"/>
    <w:rsid w:val="00DF078E"/>
    <w:rsid w:val="00DF1E40"/>
    <w:rsid w:val="00DF45E3"/>
    <w:rsid w:val="00DF6523"/>
    <w:rsid w:val="00DF692F"/>
    <w:rsid w:val="00DF7881"/>
    <w:rsid w:val="00E04244"/>
    <w:rsid w:val="00E1017A"/>
    <w:rsid w:val="00E11653"/>
    <w:rsid w:val="00E11981"/>
    <w:rsid w:val="00E12E28"/>
    <w:rsid w:val="00E1302D"/>
    <w:rsid w:val="00E13A00"/>
    <w:rsid w:val="00E14DCA"/>
    <w:rsid w:val="00E170CB"/>
    <w:rsid w:val="00E176B9"/>
    <w:rsid w:val="00E216DB"/>
    <w:rsid w:val="00E21D6E"/>
    <w:rsid w:val="00E237DE"/>
    <w:rsid w:val="00E243FA"/>
    <w:rsid w:val="00E24983"/>
    <w:rsid w:val="00E265C7"/>
    <w:rsid w:val="00E26CCF"/>
    <w:rsid w:val="00E3028C"/>
    <w:rsid w:val="00E3069C"/>
    <w:rsid w:val="00E30A41"/>
    <w:rsid w:val="00E326CE"/>
    <w:rsid w:val="00E3270D"/>
    <w:rsid w:val="00E34155"/>
    <w:rsid w:val="00E35C02"/>
    <w:rsid w:val="00E35DF7"/>
    <w:rsid w:val="00E37F1F"/>
    <w:rsid w:val="00E40828"/>
    <w:rsid w:val="00E4201E"/>
    <w:rsid w:val="00E4284A"/>
    <w:rsid w:val="00E440F6"/>
    <w:rsid w:val="00E4530E"/>
    <w:rsid w:val="00E46323"/>
    <w:rsid w:val="00E468DD"/>
    <w:rsid w:val="00E46A90"/>
    <w:rsid w:val="00E47A17"/>
    <w:rsid w:val="00E47B18"/>
    <w:rsid w:val="00E51C27"/>
    <w:rsid w:val="00E52538"/>
    <w:rsid w:val="00E5276A"/>
    <w:rsid w:val="00E53014"/>
    <w:rsid w:val="00E5305E"/>
    <w:rsid w:val="00E542CC"/>
    <w:rsid w:val="00E54430"/>
    <w:rsid w:val="00E54A2C"/>
    <w:rsid w:val="00E551FB"/>
    <w:rsid w:val="00E55B35"/>
    <w:rsid w:val="00E57BE3"/>
    <w:rsid w:val="00E6237E"/>
    <w:rsid w:val="00E6294A"/>
    <w:rsid w:val="00E62CF3"/>
    <w:rsid w:val="00E66022"/>
    <w:rsid w:val="00E66082"/>
    <w:rsid w:val="00E6616A"/>
    <w:rsid w:val="00E70061"/>
    <w:rsid w:val="00E714F2"/>
    <w:rsid w:val="00E760F2"/>
    <w:rsid w:val="00E768AB"/>
    <w:rsid w:val="00E76DB4"/>
    <w:rsid w:val="00E77562"/>
    <w:rsid w:val="00E80657"/>
    <w:rsid w:val="00E80AED"/>
    <w:rsid w:val="00E80D73"/>
    <w:rsid w:val="00E828DB"/>
    <w:rsid w:val="00E82C6A"/>
    <w:rsid w:val="00E85814"/>
    <w:rsid w:val="00E85DBD"/>
    <w:rsid w:val="00E860E9"/>
    <w:rsid w:val="00E86EB5"/>
    <w:rsid w:val="00E870CE"/>
    <w:rsid w:val="00E87638"/>
    <w:rsid w:val="00E87AAD"/>
    <w:rsid w:val="00E87C1E"/>
    <w:rsid w:val="00E90155"/>
    <w:rsid w:val="00E9123B"/>
    <w:rsid w:val="00E9270B"/>
    <w:rsid w:val="00E92E1F"/>
    <w:rsid w:val="00E944DA"/>
    <w:rsid w:val="00E976D6"/>
    <w:rsid w:val="00EA0A76"/>
    <w:rsid w:val="00EA211D"/>
    <w:rsid w:val="00EA4009"/>
    <w:rsid w:val="00EB045E"/>
    <w:rsid w:val="00EB0630"/>
    <w:rsid w:val="00EB289A"/>
    <w:rsid w:val="00EB3010"/>
    <w:rsid w:val="00EB5734"/>
    <w:rsid w:val="00EB58E7"/>
    <w:rsid w:val="00EB6BA3"/>
    <w:rsid w:val="00EB7904"/>
    <w:rsid w:val="00EB7DF4"/>
    <w:rsid w:val="00EC03F1"/>
    <w:rsid w:val="00EC0F6D"/>
    <w:rsid w:val="00EC2428"/>
    <w:rsid w:val="00EC29C3"/>
    <w:rsid w:val="00EC4CF1"/>
    <w:rsid w:val="00EC685B"/>
    <w:rsid w:val="00EC691E"/>
    <w:rsid w:val="00EC780C"/>
    <w:rsid w:val="00ED1699"/>
    <w:rsid w:val="00ED74BF"/>
    <w:rsid w:val="00EE00BE"/>
    <w:rsid w:val="00EE0B7C"/>
    <w:rsid w:val="00EE0DA5"/>
    <w:rsid w:val="00EE0EA7"/>
    <w:rsid w:val="00EE198A"/>
    <w:rsid w:val="00EE1A72"/>
    <w:rsid w:val="00EE6319"/>
    <w:rsid w:val="00EE6B84"/>
    <w:rsid w:val="00EE6E1B"/>
    <w:rsid w:val="00EF044A"/>
    <w:rsid w:val="00EF14C6"/>
    <w:rsid w:val="00EF18B8"/>
    <w:rsid w:val="00EF416E"/>
    <w:rsid w:val="00EF4AE7"/>
    <w:rsid w:val="00EF50C7"/>
    <w:rsid w:val="00EF5448"/>
    <w:rsid w:val="00EF5790"/>
    <w:rsid w:val="00EF5C81"/>
    <w:rsid w:val="00EF6B87"/>
    <w:rsid w:val="00EF75B9"/>
    <w:rsid w:val="00EF767A"/>
    <w:rsid w:val="00EF768F"/>
    <w:rsid w:val="00EF7741"/>
    <w:rsid w:val="00F00CE7"/>
    <w:rsid w:val="00F010CF"/>
    <w:rsid w:val="00F035CE"/>
    <w:rsid w:val="00F03A17"/>
    <w:rsid w:val="00F03CD1"/>
    <w:rsid w:val="00F0489E"/>
    <w:rsid w:val="00F05D7F"/>
    <w:rsid w:val="00F0621C"/>
    <w:rsid w:val="00F109B3"/>
    <w:rsid w:val="00F10D27"/>
    <w:rsid w:val="00F113A0"/>
    <w:rsid w:val="00F14720"/>
    <w:rsid w:val="00F14C07"/>
    <w:rsid w:val="00F14D64"/>
    <w:rsid w:val="00F14D9C"/>
    <w:rsid w:val="00F151F1"/>
    <w:rsid w:val="00F21578"/>
    <w:rsid w:val="00F21E3D"/>
    <w:rsid w:val="00F223C8"/>
    <w:rsid w:val="00F22F2B"/>
    <w:rsid w:val="00F244B2"/>
    <w:rsid w:val="00F24E13"/>
    <w:rsid w:val="00F24ED7"/>
    <w:rsid w:val="00F26304"/>
    <w:rsid w:val="00F26A49"/>
    <w:rsid w:val="00F27130"/>
    <w:rsid w:val="00F3068B"/>
    <w:rsid w:val="00F32900"/>
    <w:rsid w:val="00F34E91"/>
    <w:rsid w:val="00F35726"/>
    <w:rsid w:val="00F36263"/>
    <w:rsid w:val="00F36906"/>
    <w:rsid w:val="00F37977"/>
    <w:rsid w:val="00F37D60"/>
    <w:rsid w:val="00F40223"/>
    <w:rsid w:val="00F4240D"/>
    <w:rsid w:val="00F44D2C"/>
    <w:rsid w:val="00F45B57"/>
    <w:rsid w:val="00F4659C"/>
    <w:rsid w:val="00F46767"/>
    <w:rsid w:val="00F46BAC"/>
    <w:rsid w:val="00F47644"/>
    <w:rsid w:val="00F47F40"/>
    <w:rsid w:val="00F503FE"/>
    <w:rsid w:val="00F50B1E"/>
    <w:rsid w:val="00F50B44"/>
    <w:rsid w:val="00F51D6D"/>
    <w:rsid w:val="00F52550"/>
    <w:rsid w:val="00F527C8"/>
    <w:rsid w:val="00F54383"/>
    <w:rsid w:val="00F54EC4"/>
    <w:rsid w:val="00F5516D"/>
    <w:rsid w:val="00F604D5"/>
    <w:rsid w:val="00F613DB"/>
    <w:rsid w:val="00F62A45"/>
    <w:rsid w:val="00F707F4"/>
    <w:rsid w:val="00F72298"/>
    <w:rsid w:val="00F72A61"/>
    <w:rsid w:val="00F72CDA"/>
    <w:rsid w:val="00F75C53"/>
    <w:rsid w:val="00F76638"/>
    <w:rsid w:val="00F77869"/>
    <w:rsid w:val="00F80905"/>
    <w:rsid w:val="00F81114"/>
    <w:rsid w:val="00F820A2"/>
    <w:rsid w:val="00F857BB"/>
    <w:rsid w:val="00F85826"/>
    <w:rsid w:val="00F85DCA"/>
    <w:rsid w:val="00F85F5C"/>
    <w:rsid w:val="00F86758"/>
    <w:rsid w:val="00F869ED"/>
    <w:rsid w:val="00F91693"/>
    <w:rsid w:val="00F916D2"/>
    <w:rsid w:val="00F9306D"/>
    <w:rsid w:val="00F93D2B"/>
    <w:rsid w:val="00F97BFA"/>
    <w:rsid w:val="00FA2055"/>
    <w:rsid w:val="00FA2276"/>
    <w:rsid w:val="00FA2FD3"/>
    <w:rsid w:val="00FA616C"/>
    <w:rsid w:val="00FA68FA"/>
    <w:rsid w:val="00FA79B3"/>
    <w:rsid w:val="00FB09C5"/>
    <w:rsid w:val="00FB1811"/>
    <w:rsid w:val="00FB1B79"/>
    <w:rsid w:val="00FB28BB"/>
    <w:rsid w:val="00FB37A6"/>
    <w:rsid w:val="00FB37F6"/>
    <w:rsid w:val="00FB582C"/>
    <w:rsid w:val="00FB58D7"/>
    <w:rsid w:val="00FB5FC9"/>
    <w:rsid w:val="00FB7D4F"/>
    <w:rsid w:val="00FC0051"/>
    <w:rsid w:val="00FC019E"/>
    <w:rsid w:val="00FC038B"/>
    <w:rsid w:val="00FC08D0"/>
    <w:rsid w:val="00FC1A37"/>
    <w:rsid w:val="00FC1F10"/>
    <w:rsid w:val="00FC1FDB"/>
    <w:rsid w:val="00FC20CC"/>
    <w:rsid w:val="00FC54D3"/>
    <w:rsid w:val="00FC73B2"/>
    <w:rsid w:val="00FD0896"/>
    <w:rsid w:val="00FD172C"/>
    <w:rsid w:val="00FD179C"/>
    <w:rsid w:val="00FD182D"/>
    <w:rsid w:val="00FD359D"/>
    <w:rsid w:val="00FD4CBE"/>
    <w:rsid w:val="00FD4CE2"/>
    <w:rsid w:val="00FD52A3"/>
    <w:rsid w:val="00FD562A"/>
    <w:rsid w:val="00FD5B16"/>
    <w:rsid w:val="00FD6C32"/>
    <w:rsid w:val="00FE1ABA"/>
    <w:rsid w:val="00FE1D32"/>
    <w:rsid w:val="00FE2990"/>
    <w:rsid w:val="00FE55AC"/>
    <w:rsid w:val="00FE60D4"/>
    <w:rsid w:val="00FE7252"/>
    <w:rsid w:val="00FE75A6"/>
    <w:rsid w:val="00FE75C4"/>
    <w:rsid w:val="00FE7EDE"/>
    <w:rsid w:val="00FF0483"/>
    <w:rsid w:val="00FF2B5C"/>
    <w:rsid w:val="00FF50CB"/>
    <w:rsid w:val="00FF533B"/>
    <w:rsid w:val="00FF69E5"/>
    <w:rsid w:val="00FF6F2C"/>
    <w:rsid w:val="00FF7AA9"/>
    <w:rsid w:val="00FF7FCD"/>
    <w:rsid w:val="086F52E7"/>
    <w:rsid w:val="10E73F7B"/>
    <w:rsid w:val="14B36112"/>
    <w:rsid w:val="1B6900A2"/>
    <w:rsid w:val="208F2D4B"/>
    <w:rsid w:val="381F37DC"/>
    <w:rsid w:val="48881715"/>
    <w:rsid w:val="5DDB1C03"/>
    <w:rsid w:val="5F942D53"/>
    <w:rsid w:val="6D7D5706"/>
    <w:rsid w:val="78D718EB"/>
    <w:rsid w:val="FFBBC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62"/>
    <w:qFormat/>
    <w:uiPriority w:val="0"/>
    <w:pPr>
      <w:keepNext/>
      <w:keepLines/>
      <w:numPr>
        <w:ilvl w:val="0"/>
        <w:numId w:val="1"/>
      </w:numPr>
      <w:outlineLvl w:val="0"/>
    </w:pPr>
    <w:rPr>
      <w:b/>
      <w:bCs/>
      <w:kern w:val="44"/>
      <w:sz w:val="36"/>
      <w:szCs w:val="44"/>
    </w:rPr>
  </w:style>
  <w:style w:type="paragraph" w:styleId="3">
    <w:name w:val="heading 2"/>
    <w:basedOn w:val="1"/>
    <w:next w:val="1"/>
    <w:link w:val="51"/>
    <w:qFormat/>
    <w:uiPriority w:val="0"/>
    <w:pPr>
      <w:keepNext/>
      <w:keepLines/>
      <w:numPr>
        <w:ilvl w:val="1"/>
        <w:numId w:val="1"/>
      </w:numPr>
      <w:outlineLvl w:val="1"/>
    </w:pPr>
    <w:rPr>
      <w:rFonts w:ascii="Cambria" w:hAnsi="Cambria"/>
      <w:b/>
      <w:bCs/>
      <w:sz w:val="32"/>
      <w:szCs w:val="32"/>
    </w:rPr>
  </w:style>
  <w:style w:type="paragraph" w:styleId="4">
    <w:name w:val="heading 3"/>
    <w:basedOn w:val="1"/>
    <w:next w:val="1"/>
    <w:link w:val="47"/>
    <w:qFormat/>
    <w:uiPriority w:val="0"/>
    <w:pPr>
      <w:keepNext/>
      <w:keepLines/>
      <w:numPr>
        <w:ilvl w:val="2"/>
        <w:numId w:val="1"/>
      </w:numPr>
      <w:spacing w:line="416" w:lineRule="auto"/>
      <w:ind w:left="720"/>
      <w:outlineLvl w:val="2"/>
    </w:pPr>
    <w:rPr>
      <w:rFonts w:ascii="Cambria" w:hAnsi="Cambria"/>
      <w:b/>
      <w:bCs/>
      <w:sz w:val="30"/>
      <w:szCs w:val="32"/>
    </w:rPr>
  </w:style>
  <w:style w:type="paragraph" w:styleId="5">
    <w:name w:val="heading 4"/>
    <w:basedOn w:val="1"/>
    <w:next w:val="1"/>
    <w:link w:val="49"/>
    <w:qFormat/>
    <w:uiPriority w:val="0"/>
    <w:pPr>
      <w:keepNext/>
      <w:keepLines/>
      <w:numPr>
        <w:ilvl w:val="3"/>
        <w:numId w:val="1"/>
      </w:numPr>
      <w:spacing w:line="376" w:lineRule="auto"/>
      <w:ind w:left="864"/>
      <w:outlineLvl w:val="3"/>
    </w:pPr>
    <w:rPr>
      <w:rFonts w:ascii="Cambria" w:hAnsi="Cambria"/>
      <w:b/>
      <w:bCs/>
      <w:sz w:val="28"/>
      <w:szCs w:val="28"/>
    </w:rPr>
  </w:style>
  <w:style w:type="paragraph" w:styleId="6">
    <w:name w:val="heading 5"/>
    <w:basedOn w:val="1"/>
    <w:next w:val="1"/>
    <w:link w:val="61"/>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8"/>
    <w:qFormat/>
    <w:uiPriority w:val="9"/>
    <w:pPr>
      <w:keepNext/>
      <w:keepLines/>
      <w:numPr>
        <w:ilvl w:val="5"/>
        <w:numId w:val="1"/>
      </w:numPr>
      <w:spacing w:before="240" w:after="64" w:line="320" w:lineRule="auto"/>
      <w:outlineLvl w:val="5"/>
    </w:pPr>
    <w:rPr>
      <w:rFonts w:ascii="Cambria" w:hAnsi="Cambria"/>
      <w:b/>
      <w:bCs/>
      <w:sz w:val="24"/>
      <w:szCs w:val="24"/>
    </w:rPr>
  </w:style>
  <w:style w:type="paragraph" w:styleId="8">
    <w:name w:val="heading 7"/>
    <w:basedOn w:val="1"/>
    <w:next w:val="1"/>
    <w:link w:val="39"/>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43"/>
    <w:qFormat/>
    <w:uiPriority w:val="9"/>
    <w:pPr>
      <w:keepNext/>
      <w:keepLines/>
      <w:numPr>
        <w:ilvl w:val="7"/>
        <w:numId w:val="1"/>
      </w:numPr>
      <w:spacing w:before="240" w:after="64" w:line="320" w:lineRule="auto"/>
      <w:outlineLvl w:val="7"/>
    </w:pPr>
    <w:rPr>
      <w:rFonts w:ascii="Cambria" w:hAnsi="Cambria"/>
      <w:sz w:val="24"/>
      <w:szCs w:val="24"/>
    </w:rPr>
  </w:style>
  <w:style w:type="paragraph" w:styleId="10">
    <w:name w:val="heading 9"/>
    <w:basedOn w:val="1"/>
    <w:next w:val="1"/>
    <w:link w:val="41"/>
    <w:qFormat/>
    <w:uiPriority w:val="9"/>
    <w:pPr>
      <w:keepNext/>
      <w:keepLines/>
      <w:numPr>
        <w:ilvl w:val="8"/>
        <w:numId w:val="1"/>
      </w:numPr>
      <w:spacing w:before="240" w:after="64" w:line="320" w:lineRule="auto"/>
      <w:outlineLvl w:val="8"/>
    </w:pPr>
    <w:rPr>
      <w:rFonts w:ascii="Cambria" w:hAnsi="Cambria"/>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cs="Calibri"/>
      <w:sz w:val="20"/>
    </w:rPr>
  </w:style>
  <w:style w:type="paragraph" w:styleId="12">
    <w:name w:val="Normal Indent"/>
    <w:basedOn w:val="1"/>
    <w:qFormat/>
    <w:uiPriority w:val="0"/>
    <w:pPr>
      <w:ind w:firstLine="420" w:firstLineChars="200"/>
    </w:pPr>
    <w:rPr>
      <w:sz w:val="30"/>
      <w:szCs w:val="24"/>
    </w:rPr>
  </w:style>
  <w:style w:type="paragraph" w:styleId="13">
    <w:name w:val="annotation text"/>
    <w:basedOn w:val="1"/>
    <w:link w:val="40"/>
    <w:qFormat/>
    <w:uiPriority w:val="99"/>
    <w:pPr>
      <w:jc w:val="left"/>
    </w:pPr>
  </w:style>
  <w:style w:type="paragraph" w:styleId="14">
    <w:name w:val="toc 5"/>
    <w:basedOn w:val="1"/>
    <w:next w:val="1"/>
    <w:qFormat/>
    <w:uiPriority w:val="0"/>
    <w:pPr>
      <w:ind w:left="840"/>
      <w:jc w:val="left"/>
    </w:pPr>
    <w:rPr>
      <w:rFonts w:cs="Calibri"/>
      <w:sz w:val="20"/>
    </w:rPr>
  </w:style>
  <w:style w:type="paragraph" w:styleId="15">
    <w:name w:val="toc 3"/>
    <w:basedOn w:val="1"/>
    <w:next w:val="1"/>
    <w:unhideWhenUsed/>
    <w:qFormat/>
    <w:uiPriority w:val="39"/>
    <w:pPr>
      <w:ind w:left="560"/>
      <w:jc w:val="left"/>
    </w:pPr>
    <w:rPr>
      <w:rFonts w:cs="Calibri"/>
      <w:i/>
      <w:iCs/>
      <w:sz w:val="20"/>
    </w:rPr>
  </w:style>
  <w:style w:type="paragraph" w:styleId="16">
    <w:name w:val="toc 8"/>
    <w:basedOn w:val="1"/>
    <w:next w:val="1"/>
    <w:qFormat/>
    <w:uiPriority w:val="0"/>
    <w:pPr>
      <w:ind w:left="1470"/>
      <w:jc w:val="left"/>
    </w:pPr>
    <w:rPr>
      <w:rFonts w:cs="Calibri"/>
      <w:sz w:val="20"/>
    </w:rPr>
  </w:style>
  <w:style w:type="paragraph" w:styleId="17">
    <w:name w:val="Date"/>
    <w:basedOn w:val="1"/>
    <w:next w:val="1"/>
    <w:link w:val="55"/>
    <w:unhideWhenUsed/>
    <w:qFormat/>
    <w:uiPriority w:val="99"/>
    <w:pPr>
      <w:ind w:left="100" w:leftChars="2500"/>
    </w:pPr>
    <w:rPr>
      <w:rFonts w:ascii="宋体" w:hAnsi="宋体"/>
      <w:sz w:val="24"/>
      <w:szCs w:val="24"/>
    </w:rPr>
  </w:style>
  <w:style w:type="paragraph" w:styleId="18">
    <w:name w:val="Balloon Text"/>
    <w:basedOn w:val="1"/>
    <w:link w:val="42"/>
    <w:qFormat/>
    <w:uiPriority w:val="99"/>
    <w:rPr>
      <w:sz w:val="18"/>
      <w:szCs w:val="18"/>
    </w:rPr>
  </w:style>
  <w:style w:type="paragraph" w:styleId="19">
    <w:name w:val="footer"/>
    <w:basedOn w:val="1"/>
    <w:link w:val="58"/>
    <w:qFormat/>
    <w:uiPriority w:val="99"/>
    <w:pPr>
      <w:tabs>
        <w:tab w:val="center" w:pos="4153"/>
        <w:tab w:val="right" w:pos="8306"/>
      </w:tabs>
      <w:snapToGrid w:val="0"/>
      <w:jc w:val="left"/>
    </w:pPr>
    <w:rPr>
      <w:sz w:val="18"/>
      <w:szCs w:val="18"/>
    </w:rPr>
  </w:style>
  <w:style w:type="paragraph" w:styleId="20">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left" w:pos="560"/>
        <w:tab w:val="right" w:leader="dot" w:pos="8296"/>
      </w:tabs>
      <w:spacing w:before="120" w:after="120"/>
      <w:jc w:val="left"/>
    </w:pPr>
    <w:rPr>
      <w:rFonts w:cs="Calibri"/>
      <w:b/>
      <w:bCs/>
      <w:caps/>
      <w:sz w:val="20"/>
    </w:rPr>
  </w:style>
  <w:style w:type="paragraph" w:styleId="22">
    <w:name w:val="toc 4"/>
    <w:basedOn w:val="1"/>
    <w:next w:val="1"/>
    <w:qFormat/>
    <w:uiPriority w:val="0"/>
    <w:pPr>
      <w:ind w:left="630"/>
      <w:jc w:val="left"/>
    </w:pPr>
    <w:rPr>
      <w:rFonts w:cs="Calibri"/>
      <w:sz w:val="20"/>
    </w:rPr>
  </w:style>
  <w:style w:type="paragraph" w:styleId="23">
    <w:name w:val="Subtitle"/>
    <w:basedOn w:val="1"/>
    <w:next w:val="1"/>
    <w:link w:val="52"/>
    <w:qFormat/>
    <w:uiPriority w:val="99"/>
    <w:pPr>
      <w:spacing w:before="240" w:after="60" w:line="312" w:lineRule="auto"/>
      <w:jc w:val="center"/>
      <w:outlineLvl w:val="1"/>
    </w:pPr>
    <w:rPr>
      <w:rFonts w:ascii="Cambria" w:hAnsi="Cambria"/>
      <w:b/>
      <w:kern w:val="28"/>
      <w:sz w:val="32"/>
    </w:rPr>
  </w:style>
  <w:style w:type="paragraph" w:styleId="24">
    <w:name w:val="toc 6"/>
    <w:basedOn w:val="1"/>
    <w:next w:val="1"/>
    <w:qFormat/>
    <w:uiPriority w:val="0"/>
    <w:pPr>
      <w:ind w:left="1050"/>
      <w:jc w:val="left"/>
    </w:pPr>
    <w:rPr>
      <w:rFonts w:cs="Calibri"/>
      <w:sz w:val="20"/>
    </w:rPr>
  </w:style>
  <w:style w:type="paragraph" w:styleId="25">
    <w:name w:val="toc 2"/>
    <w:basedOn w:val="1"/>
    <w:next w:val="1"/>
    <w:unhideWhenUsed/>
    <w:qFormat/>
    <w:uiPriority w:val="39"/>
    <w:pPr>
      <w:tabs>
        <w:tab w:val="left" w:pos="1120"/>
        <w:tab w:val="right" w:leader="dot" w:pos="8296"/>
      </w:tabs>
      <w:spacing w:line="360" w:lineRule="auto"/>
      <w:ind w:left="278"/>
      <w:jc w:val="left"/>
    </w:pPr>
    <w:rPr>
      <w:rFonts w:cs="Calibri"/>
      <w:smallCaps/>
      <w:sz w:val="20"/>
    </w:rPr>
  </w:style>
  <w:style w:type="paragraph" w:styleId="26">
    <w:name w:val="toc 9"/>
    <w:basedOn w:val="1"/>
    <w:next w:val="1"/>
    <w:qFormat/>
    <w:uiPriority w:val="0"/>
    <w:pPr>
      <w:ind w:left="1680"/>
      <w:jc w:val="left"/>
    </w:pPr>
    <w:rPr>
      <w:rFonts w:cs="Calibri"/>
      <w:sz w:val="20"/>
    </w:rPr>
  </w:style>
  <w:style w:type="paragraph" w:styleId="2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8">
    <w:name w:val="Title"/>
    <w:basedOn w:val="1"/>
    <w:next w:val="1"/>
    <w:link w:val="57"/>
    <w:qFormat/>
    <w:uiPriority w:val="99"/>
    <w:pPr>
      <w:spacing w:before="240" w:after="60"/>
      <w:jc w:val="center"/>
      <w:outlineLvl w:val="0"/>
    </w:pPr>
    <w:rPr>
      <w:rFonts w:ascii="Cambria" w:hAnsi="Cambria"/>
      <w:b/>
      <w:bCs/>
      <w:sz w:val="32"/>
      <w:szCs w:val="32"/>
    </w:rPr>
  </w:style>
  <w:style w:type="paragraph" w:styleId="29">
    <w:name w:val="annotation subject"/>
    <w:basedOn w:val="13"/>
    <w:next w:val="13"/>
    <w:link w:val="45"/>
    <w:qFormat/>
    <w:uiPriority w:val="99"/>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b/>
      <w:bCs/>
    </w:rPr>
  </w:style>
  <w:style w:type="character" w:styleId="34">
    <w:name w:val="page number"/>
    <w:basedOn w:val="32"/>
    <w:qFormat/>
    <w:uiPriority w:val="99"/>
  </w:style>
  <w:style w:type="character" w:styleId="35">
    <w:name w:val="Emphasis"/>
    <w:qFormat/>
    <w:uiPriority w:val="0"/>
    <w:rPr>
      <w:color w:val="CC0000"/>
    </w:rPr>
  </w:style>
  <w:style w:type="character" w:styleId="36">
    <w:name w:val="Hyperlink"/>
    <w:qFormat/>
    <w:uiPriority w:val="99"/>
    <w:rPr>
      <w:color w:val="0000FF"/>
      <w:u w:val="single"/>
    </w:rPr>
  </w:style>
  <w:style w:type="character" w:styleId="37">
    <w:name w:val="annotation reference"/>
    <w:qFormat/>
    <w:uiPriority w:val="99"/>
    <w:rPr>
      <w:sz w:val="21"/>
      <w:szCs w:val="21"/>
    </w:rPr>
  </w:style>
  <w:style w:type="character" w:customStyle="1" w:styleId="38">
    <w:name w:val="apple-converted-space"/>
    <w:qFormat/>
    <w:uiPriority w:val="0"/>
  </w:style>
  <w:style w:type="character" w:customStyle="1" w:styleId="39">
    <w:name w:val="标题 7 字符"/>
    <w:link w:val="8"/>
    <w:qFormat/>
    <w:uiPriority w:val="9"/>
    <w:rPr>
      <w:b/>
      <w:bCs/>
      <w:kern w:val="2"/>
      <w:sz w:val="24"/>
      <w:szCs w:val="24"/>
    </w:rPr>
  </w:style>
  <w:style w:type="character" w:customStyle="1" w:styleId="40">
    <w:name w:val="批注文字 字符"/>
    <w:link w:val="13"/>
    <w:qFormat/>
    <w:uiPriority w:val="99"/>
    <w:rPr>
      <w:kern w:val="2"/>
      <w:sz w:val="21"/>
    </w:rPr>
  </w:style>
  <w:style w:type="character" w:customStyle="1" w:styleId="41">
    <w:name w:val="标题 9 字符"/>
    <w:link w:val="10"/>
    <w:qFormat/>
    <w:uiPriority w:val="9"/>
    <w:rPr>
      <w:rFonts w:ascii="Cambria" w:hAnsi="Cambria"/>
      <w:kern w:val="2"/>
      <w:sz w:val="21"/>
      <w:szCs w:val="21"/>
    </w:rPr>
  </w:style>
  <w:style w:type="character" w:customStyle="1" w:styleId="42">
    <w:name w:val="批注框文本 字符"/>
    <w:link w:val="18"/>
    <w:qFormat/>
    <w:uiPriority w:val="99"/>
    <w:rPr>
      <w:kern w:val="2"/>
      <w:sz w:val="18"/>
      <w:szCs w:val="18"/>
    </w:rPr>
  </w:style>
  <w:style w:type="character" w:customStyle="1" w:styleId="43">
    <w:name w:val="标题 8 字符"/>
    <w:link w:val="9"/>
    <w:qFormat/>
    <w:uiPriority w:val="9"/>
    <w:rPr>
      <w:rFonts w:ascii="Cambria" w:hAnsi="Cambria"/>
      <w:kern w:val="2"/>
      <w:sz w:val="24"/>
      <w:szCs w:val="24"/>
    </w:rPr>
  </w:style>
  <w:style w:type="character" w:customStyle="1" w:styleId="44">
    <w:name w:val="Unresolved Mention"/>
    <w:unhideWhenUsed/>
    <w:qFormat/>
    <w:uiPriority w:val="99"/>
    <w:rPr>
      <w:color w:val="808080"/>
      <w:shd w:val="clear" w:color="auto" w:fill="E6E6E6"/>
    </w:rPr>
  </w:style>
  <w:style w:type="character" w:customStyle="1" w:styleId="45">
    <w:name w:val="批注主题 字符"/>
    <w:link w:val="29"/>
    <w:qFormat/>
    <w:uiPriority w:val="99"/>
    <w:rPr>
      <w:b/>
      <w:bCs/>
      <w:kern w:val="2"/>
      <w:sz w:val="21"/>
    </w:rPr>
  </w:style>
  <w:style w:type="character" w:customStyle="1" w:styleId="46">
    <w:name w:val="Char Char1"/>
    <w:qFormat/>
    <w:locked/>
    <w:uiPriority w:val="99"/>
    <w:rPr>
      <w:rFonts w:ascii="Cambria" w:hAnsi="Cambria" w:eastAsia="宋体"/>
      <w:b/>
      <w:kern w:val="2"/>
      <w:sz w:val="32"/>
      <w:lang w:val="en-US" w:eastAsia="zh-CN"/>
    </w:rPr>
  </w:style>
  <w:style w:type="character" w:customStyle="1" w:styleId="47">
    <w:name w:val="标题 3 字符"/>
    <w:link w:val="4"/>
    <w:qFormat/>
    <w:uiPriority w:val="0"/>
    <w:rPr>
      <w:rFonts w:ascii="Cambria" w:hAnsi="Cambria"/>
      <w:b/>
      <w:bCs/>
      <w:kern w:val="2"/>
      <w:sz w:val="30"/>
      <w:szCs w:val="32"/>
    </w:rPr>
  </w:style>
  <w:style w:type="character" w:customStyle="1" w:styleId="48">
    <w:name w:val="标题 6 字符"/>
    <w:link w:val="7"/>
    <w:uiPriority w:val="9"/>
    <w:rPr>
      <w:rFonts w:ascii="Cambria" w:hAnsi="Cambria"/>
      <w:b/>
      <w:bCs/>
      <w:kern w:val="2"/>
      <w:sz w:val="24"/>
      <w:szCs w:val="24"/>
    </w:rPr>
  </w:style>
  <w:style w:type="character" w:customStyle="1" w:styleId="49">
    <w:name w:val="标题 4 字符"/>
    <w:link w:val="5"/>
    <w:qFormat/>
    <w:uiPriority w:val="0"/>
    <w:rPr>
      <w:rFonts w:ascii="Cambria" w:hAnsi="Cambria"/>
      <w:b/>
      <w:bCs/>
      <w:kern w:val="2"/>
      <w:sz w:val="28"/>
      <w:szCs w:val="28"/>
    </w:rPr>
  </w:style>
  <w:style w:type="character" w:customStyle="1" w:styleId="50">
    <w:name w:val="Char Char"/>
    <w:qFormat/>
    <w:uiPriority w:val="99"/>
    <w:rPr>
      <w:rFonts w:ascii="Cambria" w:hAnsi="Cambria" w:cs="Times New Roman"/>
      <w:b/>
      <w:bCs/>
      <w:kern w:val="2"/>
      <w:sz w:val="32"/>
      <w:szCs w:val="32"/>
    </w:rPr>
  </w:style>
  <w:style w:type="character" w:customStyle="1" w:styleId="51">
    <w:name w:val="标题 2 字符"/>
    <w:link w:val="3"/>
    <w:qFormat/>
    <w:uiPriority w:val="0"/>
    <w:rPr>
      <w:rFonts w:ascii="Cambria" w:hAnsi="Cambria"/>
      <w:b/>
      <w:bCs/>
      <w:kern w:val="2"/>
      <w:sz w:val="32"/>
      <w:szCs w:val="32"/>
    </w:rPr>
  </w:style>
  <w:style w:type="character" w:customStyle="1" w:styleId="52">
    <w:name w:val="副标题 字符"/>
    <w:link w:val="23"/>
    <w:qFormat/>
    <w:uiPriority w:val="99"/>
    <w:rPr>
      <w:rFonts w:ascii="Cambria" w:hAnsi="Cambria"/>
      <w:b/>
      <w:kern w:val="28"/>
      <w:sz w:val="32"/>
    </w:rPr>
  </w:style>
  <w:style w:type="character" w:customStyle="1" w:styleId="53">
    <w:name w:val="Char Char4"/>
    <w:qFormat/>
    <w:uiPriority w:val="99"/>
    <w:rPr>
      <w:rFonts w:ascii="Cambria" w:hAnsi="Cambria" w:eastAsia="宋体"/>
      <w:b/>
      <w:sz w:val="32"/>
    </w:rPr>
  </w:style>
  <w:style w:type="character" w:customStyle="1" w:styleId="54">
    <w:name w:val="页眉 字符"/>
    <w:link w:val="20"/>
    <w:qFormat/>
    <w:uiPriority w:val="99"/>
    <w:rPr>
      <w:rFonts w:eastAsia="宋体"/>
      <w:kern w:val="2"/>
      <w:sz w:val="18"/>
      <w:szCs w:val="18"/>
      <w:lang w:val="en-US" w:eastAsia="zh-CN" w:bidi="ar-SA"/>
    </w:rPr>
  </w:style>
  <w:style w:type="character" w:customStyle="1" w:styleId="55">
    <w:name w:val="日期 字符"/>
    <w:link w:val="17"/>
    <w:qFormat/>
    <w:uiPriority w:val="99"/>
    <w:rPr>
      <w:rFonts w:ascii="宋体" w:hAnsi="宋体"/>
      <w:kern w:val="2"/>
      <w:sz w:val="24"/>
      <w:szCs w:val="24"/>
    </w:rPr>
  </w:style>
  <w:style w:type="character" w:customStyle="1" w:styleId="56">
    <w:name w:val="Subtitle Char"/>
    <w:qFormat/>
    <w:locked/>
    <w:uiPriority w:val="99"/>
    <w:rPr>
      <w:rFonts w:ascii="Cambria" w:hAnsi="Cambria" w:cs="Cambria"/>
      <w:b/>
      <w:bCs/>
      <w:kern w:val="28"/>
      <w:sz w:val="32"/>
      <w:szCs w:val="32"/>
    </w:rPr>
  </w:style>
  <w:style w:type="character" w:customStyle="1" w:styleId="57">
    <w:name w:val="标题 字符"/>
    <w:link w:val="28"/>
    <w:qFormat/>
    <w:locked/>
    <w:uiPriority w:val="99"/>
    <w:rPr>
      <w:rFonts w:ascii="Cambria" w:hAnsi="Cambria" w:eastAsia="宋体"/>
      <w:b/>
      <w:bCs/>
      <w:kern w:val="2"/>
      <w:sz w:val="32"/>
      <w:szCs w:val="32"/>
      <w:lang w:val="en-US" w:eastAsia="zh-CN" w:bidi="ar-SA"/>
    </w:rPr>
  </w:style>
  <w:style w:type="character" w:customStyle="1" w:styleId="58">
    <w:name w:val="页脚 字符"/>
    <w:link w:val="19"/>
    <w:qFormat/>
    <w:locked/>
    <w:uiPriority w:val="99"/>
    <w:rPr>
      <w:kern w:val="2"/>
      <w:sz w:val="18"/>
      <w:szCs w:val="18"/>
    </w:rPr>
  </w:style>
  <w:style w:type="character" w:customStyle="1" w:styleId="59">
    <w:name w:val="mail-footer"/>
    <w:basedOn w:val="32"/>
    <w:qFormat/>
    <w:uiPriority w:val="0"/>
  </w:style>
  <w:style w:type="character" w:customStyle="1" w:styleId="60">
    <w:name w:val="font351"/>
    <w:qFormat/>
    <w:uiPriority w:val="0"/>
    <w:rPr>
      <w:rFonts w:hint="eastAsia" w:ascii="宋体" w:hAnsi="宋体" w:eastAsia="宋体"/>
      <w:color w:val="000000"/>
      <w:sz w:val="22"/>
      <w:szCs w:val="22"/>
      <w:u w:val="none"/>
    </w:rPr>
  </w:style>
  <w:style w:type="character" w:customStyle="1" w:styleId="61">
    <w:name w:val="标题 5 字符"/>
    <w:link w:val="6"/>
    <w:qFormat/>
    <w:uiPriority w:val="9"/>
    <w:rPr>
      <w:b/>
      <w:bCs/>
      <w:kern w:val="2"/>
      <w:sz w:val="28"/>
      <w:szCs w:val="28"/>
    </w:rPr>
  </w:style>
  <w:style w:type="character" w:customStyle="1" w:styleId="62">
    <w:name w:val="标题 1 字符"/>
    <w:link w:val="2"/>
    <w:qFormat/>
    <w:uiPriority w:val="0"/>
    <w:rPr>
      <w:b/>
      <w:bCs/>
      <w:kern w:val="44"/>
      <w:sz w:val="36"/>
      <w:szCs w:val="44"/>
    </w:rPr>
  </w:style>
  <w:style w:type="paragraph" w:customStyle="1" w:styleId="63">
    <w:name w:val="列出段落1"/>
    <w:basedOn w:val="1"/>
    <w:qFormat/>
    <w:uiPriority w:val="34"/>
    <w:pPr>
      <w:ind w:firstLine="420" w:firstLineChars="200"/>
    </w:pPr>
    <w:rPr>
      <w:szCs w:val="22"/>
    </w:rPr>
  </w:style>
  <w:style w:type="paragraph" w:customStyle="1" w:styleId="6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65">
    <w:name w:val="p17"/>
    <w:basedOn w:val="1"/>
    <w:qFormat/>
    <w:uiPriority w:val="0"/>
    <w:pPr>
      <w:widowControl/>
      <w:ind w:firstLine="420"/>
    </w:pPr>
    <w:rPr>
      <w:rFonts w:cs="宋体"/>
      <w:kern w:val="0"/>
      <w:szCs w:val="21"/>
    </w:rPr>
  </w:style>
  <w:style w:type="paragraph" w:customStyle="1" w:styleId="66">
    <w:name w:val="p0"/>
    <w:basedOn w:val="1"/>
    <w:qFormat/>
    <w:uiPriority w:val="0"/>
    <w:pPr>
      <w:widowControl/>
      <w:ind w:firstLine="420"/>
      <w:jc w:val="left"/>
    </w:pPr>
    <w:rPr>
      <w:kern w:val="0"/>
      <w:sz w:val="20"/>
    </w:rPr>
  </w:style>
  <w:style w:type="paragraph" w:customStyle="1" w:styleId="67">
    <w:name w:val="TOC Heading"/>
    <w:basedOn w:val="2"/>
    <w:next w:val="1"/>
    <w:qFormat/>
    <w:uiPriority w:val="39"/>
    <w:pPr>
      <w:widowControl/>
      <w:numPr>
        <w:numId w:val="0"/>
      </w:numPr>
      <w:spacing w:before="480" w:line="276" w:lineRule="auto"/>
      <w:jc w:val="left"/>
      <w:outlineLvl w:val="9"/>
    </w:pPr>
    <w:rPr>
      <w:color w:val="365F91"/>
      <w:kern w:val="0"/>
      <w:sz w:val="28"/>
      <w:szCs w:val="28"/>
    </w:rPr>
  </w:style>
  <w:style w:type="paragraph" w:styleId="68">
    <w:name w:val="No Spacing"/>
    <w:qFormat/>
    <w:uiPriority w:val="1"/>
    <w:pPr>
      <w:widowControl w:val="0"/>
      <w:jc w:val="both"/>
    </w:pPr>
    <w:rPr>
      <w:rFonts w:ascii="Calibri" w:hAnsi="Calibri" w:eastAsia="宋体" w:cs="Calibri"/>
      <w:kern w:val="2"/>
      <w:sz w:val="21"/>
      <w:szCs w:val="21"/>
      <w:lang w:val="en-US" w:eastAsia="zh-CN" w:bidi="ar-SA"/>
    </w:rPr>
  </w:style>
  <w:style w:type="paragraph" w:customStyle="1" w:styleId="69">
    <w:name w:val="p15"/>
    <w:basedOn w:val="1"/>
    <w:qFormat/>
    <w:uiPriority w:val="0"/>
    <w:pPr>
      <w:widowControl/>
      <w:ind w:firstLine="420"/>
    </w:pPr>
    <w:rPr>
      <w:rFonts w:cs="宋体"/>
      <w:kern w:val="0"/>
      <w:szCs w:val="21"/>
    </w:rPr>
  </w:style>
  <w:style w:type="paragraph" w:styleId="70">
    <w:name w:val="List Paragraph"/>
    <w:basedOn w:val="1"/>
    <w:qFormat/>
    <w:uiPriority w:val="34"/>
    <w:pPr>
      <w:spacing w:line="360" w:lineRule="auto"/>
      <w:ind w:firstLine="420" w:firstLineChars="200"/>
    </w:pPr>
    <w:rPr>
      <w:szCs w:val="22"/>
    </w:rPr>
  </w:style>
  <w:style w:type="paragraph" w:customStyle="1" w:styleId="71">
    <w:name w:val="ordinary-outpu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2">
    <w:name w:val="font6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bf8d7252bf67686042bf32cb0ea73862643eeecc" TargetMode="Externa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https://www.kdocs.cn/api/v3/office/copy/MEdqQmpCUVNSZDNkM2FMWVJEUGszYUc0NmxEcUdndlFRdzM2SlR2dVYxUFdEMmZreTZiNE5PRDRYMHBaQk0vaUtBL2RPVGoyaEh0ejVWYjFIUklpN3J4QUFYZjNvTzEzNExpNktZM1Q5eXdOSkk0Z1JCQWFXQ3lWWE9GLy9GcXF4WXM3ZnFYd3lVcnFYMHZNNlVHMWs2QWM3NlM5S1FXZlp6VTVCb3d6d2N0ZjFIVnpVWW5DdGZVUE5uZjRPSERMcTdsN3dGRUFHVHhoaTZRQ09DRnM0ZTVEOUFHdjdUdzZ1WTVmYmYvZnVFcTluQWlvbm8yNFE5aEpJWUh4VnN2Mktzdk53cjNPOStBPQ==/attach/object/f10af85642f6d3b95075f943c3c0e5e71f3dec03"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spPr>
              <a:solidFill>
                <a:schemeClr val="accent2"/>
              </a:solid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Sheet3!$B$6:$B$19</c:f>
              <c:strCache>
                <c:ptCount val="14"/>
                <c:pt idx="0">
                  <c:v>安乡县</c:v>
                </c:pt>
                <c:pt idx="1">
                  <c:v>鼎城一中</c:v>
                </c:pt>
                <c:pt idx="2">
                  <c:v>蓝山县</c:v>
                </c:pt>
                <c:pt idx="3">
                  <c:v>平江县</c:v>
                </c:pt>
                <c:pt idx="4">
                  <c:v>石门县</c:v>
                </c:pt>
                <c:pt idx="5">
                  <c:v>桃源县</c:v>
                </c:pt>
                <c:pt idx="6">
                  <c:v>通道县</c:v>
                </c:pt>
                <c:pt idx="7">
                  <c:v>溆浦县</c:v>
                </c:pt>
                <c:pt idx="8">
                  <c:v>阳原县</c:v>
                </c:pt>
                <c:pt idx="9">
                  <c:v>永顺县</c:v>
                </c:pt>
                <c:pt idx="10">
                  <c:v>桑植县</c:v>
                </c:pt>
                <c:pt idx="11">
                  <c:v>兴义八中</c:v>
                </c:pt>
                <c:pt idx="12">
                  <c:v>株洲县</c:v>
                </c:pt>
                <c:pt idx="13">
                  <c:v>沅陵县</c:v>
                </c:pt>
              </c:strCache>
            </c:strRef>
          </c:cat>
          <c:val>
            <c:numRef>
              <c:f>Sheet3!$C$6:$C$19</c:f>
              <c:numCache>
                <c:formatCode>General</c:formatCode>
                <c:ptCount val="14"/>
                <c:pt idx="0">
                  <c:v>293</c:v>
                </c:pt>
                <c:pt idx="1">
                  <c:v>28</c:v>
                </c:pt>
                <c:pt idx="2">
                  <c:v>257</c:v>
                </c:pt>
                <c:pt idx="3">
                  <c:v>111</c:v>
                </c:pt>
                <c:pt idx="4">
                  <c:v>240</c:v>
                </c:pt>
                <c:pt idx="5">
                  <c:v>315</c:v>
                </c:pt>
                <c:pt idx="6">
                  <c:v>468</c:v>
                </c:pt>
                <c:pt idx="7">
                  <c:v>735</c:v>
                </c:pt>
                <c:pt idx="8">
                  <c:v>71</c:v>
                </c:pt>
                <c:pt idx="9">
                  <c:v>359</c:v>
                </c:pt>
                <c:pt idx="10">
                  <c:v>646</c:v>
                </c:pt>
                <c:pt idx="11">
                  <c:v>50</c:v>
                </c:pt>
                <c:pt idx="12">
                  <c:v>80</c:v>
                </c:pt>
                <c:pt idx="13">
                  <c:v>1942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7152230971129"/>
          <c:y val="0.177165354330709"/>
          <c:w val="0.87961811023622"/>
          <c:h val="0.478186806373613"/>
        </c:manualLayout>
      </c:layout>
      <c:lineChart>
        <c:grouping val="standard"/>
        <c:varyColors val="0"/>
        <c:ser>
          <c:idx val="0"/>
          <c:order val="0"/>
          <c:tx>
            <c:strRef>
              <c:f>Sheet1!$B$3</c:f>
              <c:strCache>
                <c:ptCount val="1"/>
                <c:pt idx="0">
                  <c:v>本科升学率</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Sheet1!$A$4:$A$8</c:f>
              <c:numCache>
                <c:formatCode>General</c:formatCode>
                <c:ptCount val="5"/>
                <c:pt idx="0">
                  <c:v>2018</c:v>
                </c:pt>
                <c:pt idx="1">
                  <c:v>2019</c:v>
                </c:pt>
                <c:pt idx="2">
                  <c:v>2020</c:v>
                </c:pt>
                <c:pt idx="3">
                  <c:v>2021</c:v>
                </c:pt>
                <c:pt idx="4">
                  <c:v>2022</c:v>
                </c:pt>
              </c:numCache>
            </c:numRef>
          </c:cat>
          <c:val>
            <c:numRef>
              <c:f>Sheet1!$B$4:$B$8</c:f>
              <c:numCache>
                <c:formatCode>0%</c:formatCode>
                <c:ptCount val="5"/>
                <c:pt idx="0">
                  <c:v>0.87</c:v>
                </c:pt>
                <c:pt idx="1">
                  <c:v>0.78</c:v>
                </c:pt>
                <c:pt idx="2">
                  <c:v>0.69</c:v>
                </c:pt>
                <c:pt idx="3">
                  <c:v>0.75</c:v>
                </c:pt>
                <c:pt idx="4">
                  <c:v>0.87</c:v>
                </c:pt>
              </c:numCache>
            </c:numRef>
          </c:val>
          <c:smooth val="0"/>
        </c:ser>
        <c:ser>
          <c:idx val="1"/>
          <c:order val="1"/>
          <c:tx>
            <c:strRef>
              <c:f>Sheet1!$C$3</c:f>
              <c:strCache>
                <c:ptCount val="1"/>
                <c:pt idx="0">
                  <c:v>重本升学率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Sheet1!$A$4:$A$8</c:f>
              <c:numCache>
                <c:formatCode>General</c:formatCode>
                <c:ptCount val="5"/>
                <c:pt idx="0">
                  <c:v>2018</c:v>
                </c:pt>
                <c:pt idx="1">
                  <c:v>2019</c:v>
                </c:pt>
                <c:pt idx="2">
                  <c:v>2020</c:v>
                </c:pt>
                <c:pt idx="3">
                  <c:v>2021</c:v>
                </c:pt>
                <c:pt idx="4">
                  <c:v>2022</c:v>
                </c:pt>
              </c:numCache>
            </c:numRef>
          </c:cat>
          <c:val>
            <c:numRef>
              <c:f>Sheet1!$C$4:$C$8</c:f>
              <c:numCache>
                <c:formatCode>0%</c:formatCode>
                <c:ptCount val="5"/>
                <c:pt idx="0">
                  <c:v>0.66</c:v>
                </c:pt>
                <c:pt idx="1">
                  <c:v>0.55</c:v>
                </c:pt>
                <c:pt idx="2">
                  <c:v>0.5</c:v>
                </c:pt>
              </c:numCache>
            </c:numRef>
          </c:val>
          <c:smooth val="0"/>
        </c:ser>
        <c:dLbls>
          <c:showLegendKey val="0"/>
          <c:showVal val="0"/>
          <c:showCatName val="0"/>
          <c:showSerName val="0"/>
          <c:showPercent val="0"/>
          <c:showBubbleSize val="0"/>
        </c:dLbls>
        <c:marker val="0"/>
        <c:smooth val="0"/>
        <c:axId val="1818194431"/>
        <c:axId val="1818195679"/>
      </c:lineChart>
      <c:catAx>
        <c:axId val="1818194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8195679"/>
        <c:crosses val="autoZero"/>
        <c:auto val="1"/>
        <c:lblAlgn val="ctr"/>
        <c:lblOffset val="100"/>
        <c:noMultiLvlLbl val="0"/>
      </c:catAx>
      <c:valAx>
        <c:axId val="1818195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819443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FE33-F5D4-421D-94A0-BB3242F77B20}">
  <ds:schemaRefs/>
</ds:datastoreItem>
</file>

<file path=docProps/app.xml><?xml version="1.0" encoding="utf-8"?>
<Properties xmlns="http://schemas.openxmlformats.org/officeDocument/2006/extended-properties" xmlns:vt="http://schemas.openxmlformats.org/officeDocument/2006/docPropsVTypes">
  <Template>Normal</Template>
  <Pages>13</Pages>
  <Words>1899</Words>
  <Characters>10826</Characters>
  <Lines>90</Lines>
  <Paragraphs>25</Paragraphs>
  <TotalTime>1367</TotalTime>
  <ScaleCrop>false</ScaleCrop>
  <LinksUpToDate>false</LinksUpToDate>
  <CharactersWithSpaces>12700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2022-12-28T07:13:00Z</dcterms:created>
  <dc:creator>mu</dc:creator>
  <cp:lastModifiedBy>飞翔</cp:lastModifiedBy>
  <cp:lastPrinted>2022-09-27T04:13:00Z</cp:lastPrinted>
  <dcterms:modified xsi:type="dcterms:W3CDTF">2023-10-13T07:13:19Z</dcterms:modified>
  <dc:title>Ϻ۽չ־ԸߵǼǱ�</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437994380</vt:r8>
  </property>
  <property fmtid="{D5CDD505-2E9C-101B-9397-08002B2CF9AE}" pid="3" name="KSOProductBuildVer">
    <vt:lpwstr>2052-12.1.0.15358</vt:lpwstr>
  </property>
  <property fmtid="{D5CDD505-2E9C-101B-9397-08002B2CF9AE}" pid="4" name="ICV">
    <vt:lpwstr>C668223129204A35AF26F8B73FD31353_12</vt:lpwstr>
  </property>
</Properties>
</file>