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6D9EA">
      <w:pPr>
        <w:spacing w:line="360" w:lineRule="auto"/>
        <w:jc w:val="center"/>
        <w:rPr>
          <w:rFonts w:hint="default" w:ascii="楷体" w:hAnsi="楷体" w:eastAsia="楷体" w:cs="楷体"/>
          <w:color w:val="3F3F3F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3F3F3F"/>
          <w:sz w:val="36"/>
          <w:szCs w:val="36"/>
          <w:lang w:val="en-US" w:eastAsia="zh-CN"/>
        </w:rPr>
        <w:t>弘慧青苗计划</w:t>
      </w:r>
      <w:r>
        <w:rPr>
          <w:rFonts w:hint="eastAsia" w:ascii="楷体" w:hAnsi="楷体" w:eastAsia="楷体" w:cs="楷体"/>
          <w:color w:val="3F3F3F"/>
          <w:sz w:val="36"/>
          <w:szCs w:val="36"/>
          <w:lang w:eastAsia="zh-CN"/>
        </w:rPr>
        <w:t>项目</w:t>
      </w:r>
      <w:r>
        <w:rPr>
          <w:rFonts w:hint="eastAsia" w:ascii="楷体" w:hAnsi="楷体" w:eastAsia="楷体" w:cs="楷体"/>
          <w:color w:val="3F3F3F"/>
          <w:sz w:val="36"/>
          <w:szCs w:val="36"/>
          <w:lang w:val="en-US" w:eastAsia="zh-CN"/>
        </w:rPr>
        <w:t>总结</w:t>
      </w:r>
      <w:r>
        <w:rPr>
          <w:rFonts w:hint="eastAsia" w:ascii="楷体" w:hAnsi="楷体" w:eastAsia="楷体" w:cs="楷体"/>
          <w:color w:val="3F3F3F"/>
          <w:sz w:val="36"/>
          <w:szCs w:val="36"/>
          <w:lang w:eastAsia="zh-CN"/>
        </w:rPr>
        <w:t>报告</w:t>
      </w:r>
    </w:p>
    <w:p w14:paraId="3D3AA04F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360" w:lineRule="auto"/>
        <w:jc w:val="both"/>
        <w:textAlignment w:val="auto"/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  <w:t>项目</w:t>
      </w:r>
      <w:r>
        <w:rPr>
          <w:rFonts w:hint="eastAsia" w:ascii="黑体" w:hAnsi="黑体" w:cs="黑体"/>
          <w:b/>
          <w:bCs/>
          <w:color w:val="3F3F3F"/>
          <w:sz w:val="28"/>
          <w:szCs w:val="28"/>
          <w:lang w:val="en-US" w:eastAsia="zh-CN"/>
        </w:rPr>
        <w:t>基础情况</w:t>
      </w:r>
    </w:p>
    <w:p w14:paraId="5B4C5E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项目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名称</w:t>
      </w: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  <w:t>青苗计划</w:t>
      </w:r>
    </w:p>
    <w:p w14:paraId="602433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【报告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周期</w:t>
      </w: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  <w:t>2023.12-2024.12</w:t>
      </w:r>
    </w:p>
    <w:p w14:paraId="3AD3FE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项目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负责人</w:t>
      </w: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  <w:t>刘海杏</w:t>
      </w:r>
    </w:p>
    <w:p w14:paraId="50C056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项目实施区域</w:t>
      </w: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  <w:t>筑梦计划合作县域</w:t>
      </w:r>
    </w:p>
    <w:p w14:paraId="0DF9A7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【项目对象】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  <w:t>申请确认制 初中毕业后考入公费师范的弘慧学子</w:t>
      </w:r>
    </w:p>
    <w:p w14:paraId="56FA56A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360" w:lineRule="auto"/>
        <w:jc w:val="both"/>
        <w:textAlignment w:val="auto"/>
        <w:rPr>
          <w:rFonts w:hint="default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  <w:t>项目资金支出情况</w:t>
      </w:r>
    </w:p>
    <w:p w14:paraId="0B7DE3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【预决算对比及说明】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 w:bidi="ar-SA"/>
        </w:rPr>
        <w:t>--决算数据财务暂未产出</w:t>
      </w:r>
    </w:p>
    <w:p w14:paraId="4C757F1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360" w:lineRule="auto"/>
        <w:jc w:val="both"/>
        <w:textAlignment w:val="auto"/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  <w:t>项目执行情况</w:t>
      </w:r>
    </w:p>
    <w:p w14:paraId="7CF8D3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1"/>
          <w:szCs w:val="24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项目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活动情况</w:t>
      </w: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】</w:t>
      </w:r>
    </w:p>
    <w:p w14:paraId="3FAE90D5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3" w:lineRule="atLeast"/>
        <w:ind w:left="798" w:right="0" w:hanging="336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青苗奖学金发放</w:t>
      </w:r>
    </w:p>
    <w:p w14:paraId="47FE834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根据弘慧基金会奖助学金项目方案关于奖助学金申请、审批、拨付流程，2023-2024学年春季学期、2024-2025秋季学期共有64名弘慧学子公费师范生获得青苗奖学金，共计发放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93000（玖万叁仟元整）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。其中2022级34人，只发放春季，1000元/人；2023级29人发放春秋两次，共2000元/人；2024级1人，发放秋季，1000元/人。</w:t>
      </w:r>
    </w:p>
    <w:tbl>
      <w:tblPr>
        <w:tblStyle w:val="8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493"/>
        <w:gridCol w:w="1443"/>
        <w:gridCol w:w="794"/>
        <w:gridCol w:w="1279"/>
        <w:gridCol w:w="515"/>
        <w:gridCol w:w="783"/>
        <w:gridCol w:w="1182"/>
        <w:gridCol w:w="1096"/>
        <w:gridCol w:w="1192"/>
      </w:tblGrid>
      <w:tr w14:paraId="021BA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6FA618A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265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980AD38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县域</w:t>
            </w:r>
          </w:p>
        </w:tc>
        <w:tc>
          <w:tcPr>
            <w:tcW w:w="776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3E857C3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师范学校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2C819E8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年级</w:t>
            </w:r>
          </w:p>
        </w:tc>
        <w:tc>
          <w:tcPr>
            <w:tcW w:w="687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8738F4E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277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E28797E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人数</w:t>
            </w:r>
          </w:p>
        </w:tc>
        <w:tc>
          <w:tcPr>
            <w:tcW w:w="421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1C708B8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春季发放(元）</w:t>
            </w:r>
          </w:p>
        </w:tc>
        <w:tc>
          <w:tcPr>
            <w:tcW w:w="636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042224D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秋季发放（元）</w:t>
            </w:r>
          </w:p>
        </w:tc>
        <w:tc>
          <w:tcPr>
            <w:tcW w:w="589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2B2B2B" w:sz="4" w:space="0"/>
            </w:tcBorders>
            <w:shd w:val="clear" w:color="auto" w:fill="auto"/>
            <w:noWrap/>
            <w:vAlign w:val="center"/>
          </w:tcPr>
          <w:p w14:paraId="5F665D9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单人金额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2B2B2B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AA564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全年奖学金金额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（元）</w:t>
            </w:r>
          </w:p>
        </w:tc>
      </w:tr>
      <w:tr w14:paraId="2AE0A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D4E8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65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2F7B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沅陵</w:t>
            </w:r>
          </w:p>
        </w:tc>
        <w:tc>
          <w:tcPr>
            <w:tcW w:w="776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441F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怀化师范高等专科学校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D6E5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2022级</w:t>
            </w:r>
          </w:p>
        </w:tc>
        <w:tc>
          <w:tcPr>
            <w:tcW w:w="687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9BBF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AEA1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421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0A2A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0CF8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589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9D2D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385C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19000</w:t>
            </w:r>
          </w:p>
        </w:tc>
      </w:tr>
      <w:tr w14:paraId="37BD3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B998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1AC0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沅陵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6127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怀化师范高等专科学校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7CF0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2023级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488F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62F6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047E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E35F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35DD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1C26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26000</w:t>
            </w:r>
          </w:p>
        </w:tc>
      </w:tr>
      <w:tr w14:paraId="50385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5421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44AE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溆浦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DC6D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怀化师范高等专科学校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48D7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2022级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DBF0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2EDE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B7DC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A290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88AD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FAA1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12000</w:t>
            </w:r>
          </w:p>
        </w:tc>
      </w:tr>
      <w:tr w14:paraId="78B35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D5E2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B10F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溆浦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761B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怀化师范高等专科学校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E722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2023级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B240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EC67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720F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F7EA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EF4C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C2AE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20000</w:t>
            </w:r>
          </w:p>
        </w:tc>
      </w:tr>
      <w:tr w14:paraId="5EC74C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BA4F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C98B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通道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AE01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怀化师范高等专科学校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5E43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2023级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D668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C0F9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985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6CF8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DC99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FFCD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8000</w:t>
            </w:r>
          </w:p>
        </w:tc>
      </w:tr>
      <w:tr w14:paraId="05B1E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8C59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73A5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永顺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8A70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怀化师范高等专科学校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D14F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2022级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DFCA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739F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C515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90CB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1CCC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CA78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</w:tr>
      <w:tr w14:paraId="5DD27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D5A7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80FD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石门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FD55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湖南幼儿师范高等专科学校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BA09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2023级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96AD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1CE3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D468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2D69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638A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7643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</w:tr>
      <w:tr w14:paraId="0A087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659C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4E7C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安乡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9F60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湖南幼儿师范高等专科学校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1F20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2022级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22B8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A555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76E2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0326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684F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3894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</w:tr>
      <w:tr w14:paraId="18E18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204F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7C5E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安乡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E94F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湖南幼儿师范高等专科学校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47367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2023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4E9D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F5A9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1264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B654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2C2E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76A7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</w:tr>
      <w:tr w14:paraId="3420E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4C7E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65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ED4C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安乡</w:t>
            </w:r>
          </w:p>
        </w:tc>
        <w:tc>
          <w:tcPr>
            <w:tcW w:w="77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52C8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湖南幼儿师范高等专科学校</w:t>
            </w:r>
          </w:p>
        </w:tc>
        <w:tc>
          <w:tcPr>
            <w:tcW w:w="42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7BBCF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68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21336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弘慧青苗奖学金</w:t>
            </w:r>
          </w:p>
        </w:tc>
        <w:tc>
          <w:tcPr>
            <w:tcW w:w="277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8FD1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2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1B0F0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36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3178B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589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6927F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41" w:type="pct"/>
            <w:tcBorders>
              <w:top w:val="single" w:color="2B2B2B" w:sz="4" w:space="0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0D0C0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</w:tr>
      <w:tr w14:paraId="4406F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432" w:type="pct"/>
            <w:gridSpan w:val="5"/>
            <w:tcBorders>
              <w:top w:val="nil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vAlign w:val="center"/>
          </w:tcPr>
          <w:p w14:paraId="52971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277" w:type="pct"/>
            <w:tcBorders>
              <w:top w:val="nil"/>
              <w:left w:val="single" w:color="2B2B2B" w:sz="4" w:space="0"/>
              <w:bottom w:val="single" w:color="2B2B2B" w:sz="4" w:space="0"/>
              <w:right w:val="single" w:color="2B2B2B" w:sz="4" w:space="0"/>
            </w:tcBorders>
            <w:shd w:val="clear" w:color="auto" w:fill="auto"/>
            <w:noWrap/>
            <w:vAlign w:val="center"/>
          </w:tcPr>
          <w:p w14:paraId="75C15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421" w:type="pct"/>
            <w:tcBorders>
              <w:top w:val="nil"/>
              <w:left w:val="single" w:color="2B2B2B" w:sz="4" w:space="0"/>
              <w:bottom w:val="single" w:color="2B2B2B" w:sz="4" w:space="0"/>
              <w:right w:val="nil"/>
            </w:tcBorders>
            <w:shd w:val="clear" w:color="auto" w:fill="auto"/>
            <w:noWrap/>
            <w:vAlign w:val="center"/>
          </w:tcPr>
          <w:p w14:paraId="2BE6E0B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636" w:type="pct"/>
            <w:tcBorders>
              <w:top w:val="nil"/>
              <w:left w:val="single" w:color="2B2B2B" w:sz="4" w:space="0"/>
              <w:bottom w:val="single" w:color="2B2B2B" w:sz="4" w:space="0"/>
              <w:right w:val="nil"/>
            </w:tcBorders>
            <w:shd w:val="clear" w:color="auto" w:fill="auto"/>
            <w:noWrap/>
            <w:vAlign w:val="center"/>
          </w:tcPr>
          <w:p w14:paraId="2DB58E22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589" w:type="pct"/>
            <w:tcBorders>
              <w:top w:val="nil"/>
              <w:left w:val="single" w:color="2B2B2B" w:sz="4" w:space="0"/>
              <w:bottom w:val="single" w:color="2B2B2B" w:sz="4" w:space="0"/>
              <w:right w:val="nil"/>
            </w:tcBorders>
            <w:shd w:val="clear" w:color="auto" w:fill="auto"/>
            <w:noWrap/>
            <w:vAlign w:val="center"/>
          </w:tcPr>
          <w:p w14:paraId="145E5B5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641" w:type="pct"/>
            <w:tcBorders>
              <w:top w:val="single" w:color="2B2B2B" w:sz="4" w:space="0"/>
              <w:left w:val="single" w:color="000000" w:sz="4" w:space="0"/>
              <w:bottom w:val="single" w:color="2B2B2B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26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3F3F3F"/>
                <w:kern w:val="0"/>
                <w:sz w:val="20"/>
                <w:szCs w:val="20"/>
                <w:u w:val="none"/>
                <w:lang w:val="en-US" w:eastAsia="zh-CN" w:bidi="ar"/>
              </w:rPr>
              <w:t>93000</w:t>
            </w:r>
          </w:p>
        </w:tc>
      </w:tr>
    </w:tbl>
    <w:p w14:paraId="69064CE1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3" w:lineRule="atLeast"/>
        <w:ind w:left="462" w:leftChars="0" w:right="0" w:rightChars="0" w:firstLine="48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  <w:lang w:val="en-US" w:eastAsia="zh-CN"/>
        </w:rPr>
      </w:pPr>
    </w:p>
    <w:p w14:paraId="46FC5C82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3" w:lineRule="atLeast"/>
        <w:ind w:left="798" w:right="0" w:hanging="336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主题培训活动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1626"/>
        <w:gridCol w:w="2725"/>
        <w:gridCol w:w="4250"/>
      </w:tblGrid>
      <w:tr w14:paraId="6E2F2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7BB5C174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1626" w:type="dxa"/>
          </w:tcPr>
          <w:p w14:paraId="78FABC5E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活动类型</w:t>
            </w:r>
          </w:p>
        </w:tc>
        <w:tc>
          <w:tcPr>
            <w:tcW w:w="2725" w:type="dxa"/>
          </w:tcPr>
          <w:p w14:paraId="19DC544D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4250" w:type="dxa"/>
          </w:tcPr>
          <w:p w14:paraId="030DBF5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描述</w:t>
            </w:r>
          </w:p>
        </w:tc>
      </w:tr>
      <w:tr w14:paraId="6657B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688" w:type="dxa"/>
          </w:tcPr>
          <w:p w14:paraId="70DB4DE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1626" w:type="dxa"/>
            <w:vMerge w:val="restart"/>
          </w:tcPr>
          <w:p w14:paraId="374BC7B1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培训资料链接</w:t>
            </w:r>
          </w:p>
        </w:tc>
        <w:tc>
          <w:tcPr>
            <w:tcW w:w="2725" w:type="dxa"/>
          </w:tcPr>
          <w:p w14:paraId="1D3531FA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故事田儿童哲学项目</w:t>
            </w:r>
          </w:p>
        </w:tc>
        <w:tc>
          <w:tcPr>
            <w:tcW w:w="4250" w:type="dxa"/>
          </w:tcPr>
          <w:p w14:paraId="7CB14AFA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与故事田儿童哲学项目合作，20余名青苗作为助教参与其中，学习儿童哲学课程</w:t>
            </w:r>
          </w:p>
        </w:tc>
      </w:tr>
      <w:tr w14:paraId="71958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6D3B17E8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1626" w:type="dxa"/>
            <w:vMerge w:val="continue"/>
          </w:tcPr>
          <w:p w14:paraId="66069C3B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725" w:type="dxa"/>
          </w:tcPr>
          <w:p w14:paraId="7408845D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第八届乡村好校长论坛</w:t>
            </w:r>
          </w:p>
        </w:tc>
        <w:tc>
          <w:tcPr>
            <w:tcW w:w="4250" w:type="dxa"/>
          </w:tcPr>
          <w:p w14:paraId="409DF9C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6名青苗作为志愿者参与其中</w:t>
            </w:r>
          </w:p>
        </w:tc>
      </w:tr>
      <w:tr w14:paraId="7026A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2844AF2E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1626" w:type="dxa"/>
            <w:vMerge w:val="continue"/>
          </w:tcPr>
          <w:p w14:paraId="281B2BEA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</w:pPr>
          </w:p>
        </w:tc>
        <w:tc>
          <w:tcPr>
            <w:tcW w:w="2725" w:type="dxa"/>
          </w:tcPr>
          <w:p w14:paraId="5D53FED0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弘慧县域好校长夏校活动</w:t>
            </w:r>
          </w:p>
        </w:tc>
        <w:tc>
          <w:tcPr>
            <w:tcW w:w="4250" w:type="dxa"/>
          </w:tcPr>
          <w:p w14:paraId="17F12F7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10名青苗作为培训志愿者参与其中，并加入培训小组支持三力培训项目设计</w:t>
            </w:r>
          </w:p>
        </w:tc>
      </w:tr>
      <w:tr w14:paraId="124D1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05A91DD3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1626" w:type="dxa"/>
          </w:tcPr>
          <w:p w14:paraId="02F60050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青苗计划特色活动</w:t>
            </w:r>
          </w:p>
        </w:tc>
        <w:tc>
          <w:tcPr>
            <w:tcW w:w="2725" w:type="dxa"/>
          </w:tcPr>
          <w:p w14:paraId="36520570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创新教育研学活动</w:t>
            </w:r>
          </w:p>
        </w:tc>
        <w:tc>
          <w:tcPr>
            <w:tcW w:w="4250" w:type="dxa"/>
          </w:tcPr>
          <w:p w14:paraId="10900687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7月27日-8月1日，38名优秀的弘慧公费师范生前往北京开展了6天的创新教育研学活动，他们从静谧的乡村走向繁华的京城，开启了一段难忘的研学征程。</w:t>
            </w:r>
          </w:p>
        </w:tc>
      </w:tr>
    </w:tbl>
    <w:p w14:paraId="58A8B61B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3" w:lineRule="atLeast"/>
        <w:ind w:left="462" w:leftChars="0" w:right="0" w:rightChars="0"/>
        <w:jc w:val="left"/>
        <w:rPr>
          <w:rFonts w:hint="eastAsia"/>
          <w:sz w:val="28"/>
          <w:szCs w:val="28"/>
          <w:lang w:val="en-US" w:eastAsia="zh-CN"/>
        </w:rPr>
      </w:pPr>
    </w:p>
    <w:p w14:paraId="6D95EA5E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3" w:lineRule="atLeast"/>
        <w:ind w:left="798" w:right="0" w:hanging="336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社群活动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2100"/>
        <w:gridCol w:w="3275"/>
        <w:gridCol w:w="3226"/>
      </w:tblGrid>
      <w:tr w14:paraId="287CB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18BDCE0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2100" w:type="dxa"/>
          </w:tcPr>
          <w:p w14:paraId="59D96CBC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时间</w:t>
            </w:r>
          </w:p>
        </w:tc>
        <w:tc>
          <w:tcPr>
            <w:tcW w:w="3275" w:type="dxa"/>
          </w:tcPr>
          <w:p w14:paraId="6836DCBB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地点、人数</w:t>
            </w:r>
          </w:p>
        </w:tc>
        <w:tc>
          <w:tcPr>
            <w:tcW w:w="3226" w:type="dxa"/>
          </w:tcPr>
          <w:p w14:paraId="69BDFB3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  <w:t>描述</w:t>
            </w:r>
          </w:p>
        </w:tc>
      </w:tr>
      <w:tr w14:paraId="2C66B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688" w:type="dxa"/>
          </w:tcPr>
          <w:p w14:paraId="52137F2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100" w:type="dxa"/>
          </w:tcPr>
          <w:p w14:paraId="150B31FE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2024年3月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16日</w:t>
            </w:r>
          </w:p>
        </w:tc>
        <w:tc>
          <w:tcPr>
            <w:tcW w:w="3275" w:type="dxa"/>
          </w:tcPr>
          <w:p w14:paraId="3C3B09C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怀化师范高等专科学校书吧，51人参与</w:t>
            </w:r>
          </w:p>
        </w:tc>
        <w:tc>
          <w:tcPr>
            <w:tcW w:w="3226" w:type="dxa"/>
          </w:tcPr>
          <w:p w14:paraId="3F3EE400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邀请李斌校长、张帆理事长分享。活动目标在于促进同学们之间的相互认识，搭建青苗社群，增进对青苗计划的认识；</w:t>
            </w:r>
          </w:p>
        </w:tc>
      </w:tr>
      <w:tr w14:paraId="2BDE1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7D0736D9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100" w:type="dxa"/>
          </w:tcPr>
          <w:p w14:paraId="25FEDE37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2024年3月17日</w:t>
            </w:r>
          </w:p>
        </w:tc>
        <w:tc>
          <w:tcPr>
            <w:tcW w:w="3275" w:type="dxa"/>
          </w:tcPr>
          <w:p w14:paraId="24D53124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文理学院老校区外国语学院2栋教室内交流、学校参访；常德文理6人，湖南幼专10人；</w:t>
            </w:r>
          </w:p>
        </w:tc>
        <w:tc>
          <w:tcPr>
            <w:tcW w:w="3226" w:type="dxa"/>
          </w:tcPr>
          <w:p w14:paraId="325488B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45E6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5F4DCAB1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100" w:type="dxa"/>
          </w:tcPr>
          <w:p w14:paraId="0C36059D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2024年4月27日</w:t>
            </w:r>
          </w:p>
        </w:tc>
        <w:tc>
          <w:tcPr>
            <w:tcW w:w="3275" w:type="dxa"/>
          </w:tcPr>
          <w:p w14:paraId="28C26211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怀化师范高等专科学校书吧，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举办了青苗欢送会，有46位青苗计划成员参与活动。</w:t>
            </w:r>
          </w:p>
        </w:tc>
        <w:tc>
          <w:tcPr>
            <w:tcW w:w="3226" w:type="dxa"/>
          </w:tcPr>
          <w:p w14:paraId="6A48D5DD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</w:rPr>
              <w:t>活动中学长学姐分享了在校的学习生活经验，学弟学妹们送上了自己的祝福。同时组织2021级进行座谈，关心实习准备情况、个人生活安顿情况等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eastAsia="zh-CN"/>
              </w:rPr>
              <w:t>；</w:t>
            </w:r>
          </w:p>
        </w:tc>
      </w:tr>
      <w:tr w14:paraId="0F902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5D5DFD79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100" w:type="dxa"/>
          </w:tcPr>
          <w:p w14:paraId="253B908D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2024年11月2日</w:t>
            </w:r>
          </w:p>
        </w:tc>
        <w:tc>
          <w:tcPr>
            <w:tcW w:w="3275" w:type="dxa"/>
          </w:tcPr>
          <w:p w14:paraId="5111D67A">
            <w:pPr>
              <w:pStyle w:val="6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0141A"/>
                <w:spacing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怀化师范高等专科学校书吧青苗秋季学期交流会；40人参与</w:t>
            </w:r>
          </w:p>
          <w:p w14:paraId="0FEDB51C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226" w:type="dxa"/>
          </w:tcPr>
          <w:p w14:paraId="2E2F3C99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不同年级的项目成员对上学期的项目活动进行收获分享、交流新学年个人成长规划；</w:t>
            </w:r>
          </w:p>
        </w:tc>
      </w:tr>
      <w:tr w14:paraId="3D129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88" w:type="dxa"/>
          </w:tcPr>
          <w:p w14:paraId="6F60BB0C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100" w:type="dxa"/>
          </w:tcPr>
          <w:p w14:paraId="20F52D44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2024年11月15日</w:t>
            </w:r>
          </w:p>
        </w:tc>
        <w:tc>
          <w:tcPr>
            <w:tcW w:w="3275" w:type="dxa"/>
          </w:tcPr>
          <w:p w14:paraId="03ACF160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前往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怀化坨院小学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（乡村好校长李骏所在学校）组织小学高年级秋游活动；27名青苗参与</w:t>
            </w:r>
          </w:p>
        </w:tc>
        <w:tc>
          <w:tcPr>
            <w:tcW w:w="3226" w:type="dxa"/>
          </w:tcPr>
          <w:p w14:paraId="7CA91BB8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乡村好校长带动青苗学子成长</w:t>
            </w:r>
          </w:p>
        </w:tc>
      </w:tr>
      <w:tr w14:paraId="70E0B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8" w:type="dxa"/>
          </w:tcPr>
          <w:p w14:paraId="1E5AB6CF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100" w:type="dxa"/>
          </w:tcPr>
          <w:p w14:paraId="291336E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2024年12月15日</w:t>
            </w:r>
          </w:p>
        </w:tc>
        <w:tc>
          <w:tcPr>
            <w:tcW w:w="3275" w:type="dxa"/>
          </w:tcPr>
          <w:p w14:paraId="2BDF6D2B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  <w:t>湖南幼儿高等专科学校，12位青苗计划成员参与活动</w:t>
            </w:r>
          </w:p>
        </w:tc>
        <w:tc>
          <w:tcPr>
            <w:tcW w:w="3226" w:type="dxa"/>
          </w:tcPr>
          <w:p w14:paraId="5020FA03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p w14:paraId="16DFE494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3" w:lineRule="atLeast"/>
        <w:ind w:left="462" w:leftChars="0" w:right="0" w:rightChars="0"/>
        <w:jc w:val="left"/>
        <w:rPr>
          <w:rFonts w:hint="eastAsia"/>
          <w:sz w:val="28"/>
          <w:szCs w:val="28"/>
          <w:lang w:val="en-US" w:eastAsia="zh-CN"/>
        </w:rPr>
      </w:pPr>
    </w:p>
    <w:p w14:paraId="135EE1C1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3" w:lineRule="atLeast"/>
        <w:ind w:left="798" w:right="0" w:hanging="336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教育实践活动-乡村训练营</w:t>
      </w:r>
    </w:p>
    <w:p w14:paraId="7484A20A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2024年乡村训练营青苗成员（弘慧学子公费师范生）有42人，超过志愿者总人数的10% 对于他们来说这不仅是一次反哺传承的志愿服务，也是一次宝贵的课堂实践。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865"/>
        <w:gridCol w:w="4212"/>
      </w:tblGrid>
      <w:tr w14:paraId="2E56C9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" w:hRule="atLeast"/>
        </w:trPr>
        <w:tc>
          <w:tcPr>
            <w:tcW w:w="4865" w:type="dxa"/>
            <w:tcBorders>
              <w:top w:val="single" w:color="CBCDD1" w:sz="4" w:space="0"/>
              <w:left w:val="single" w:color="CBCDD1" w:sz="4" w:space="0"/>
              <w:bottom w:val="single" w:color="CBCDD1" w:sz="4" w:space="0"/>
              <w:right w:val="single" w:color="CBCDD1" w:sz="4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F327BCB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left="0" w:right="0"/>
              <w:jc w:val="left"/>
            </w:pPr>
            <w:r>
              <w:drawing>
                <wp:inline distT="0" distB="0" distL="114300" distR="114300">
                  <wp:extent cx="2714625" cy="1809750"/>
                  <wp:effectExtent l="0" t="0" r="3175" b="6350"/>
                  <wp:docPr id="6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color="CBCDD1" w:sz="4" w:space="0"/>
              <w:left w:val="single" w:color="CBCDD1" w:sz="4" w:space="0"/>
              <w:bottom w:val="single" w:color="CBCDD1" w:sz="4" w:space="0"/>
              <w:right w:val="single" w:color="CBCDD1" w:sz="4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17080091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left="0" w:right="0"/>
              <w:jc w:val="left"/>
            </w:pPr>
            <w:r>
              <w:drawing>
                <wp:inline distT="0" distB="0" distL="114300" distR="114300">
                  <wp:extent cx="2552700" cy="1914525"/>
                  <wp:effectExtent l="0" t="0" r="0" b="3175"/>
                  <wp:docPr id="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0906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" w:hRule="atLeast"/>
        </w:trPr>
        <w:tc>
          <w:tcPr>
            <w:tcW w:w="4865" w:type="dxa"/>
            <w:tcBorders>
              <w:top w:val="single" w:color="CBCDD1" w:sz="4" w:space="0"/>
              <w:left w:val="single" w:color="CBCDD1" w:sz="4" w:space="0"/>
              <w:bottom w:val="single" w:color="CBCDD1" w:sz="4" w:space="0"/>
              <w:right w:val="single" w:color="CBCDD1" w:sz="4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0D9EC77B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left="0" w:right="0"/>
              <w:jc w:val="left"/>
            </w:pPr>
            <w:r>
              <w:drawing>
                <wp:inline distT="0" distB="0" distL="114300" distR="114300">
                  <wp:extent cx="2533650" cy="1685925"/>
                  <wp:effectExtent l="0" t="0" r="6350" b="3175"/>
                  <wp:docPr id="7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color="CBCDD1" w:sz="4" w:space="0"/>
              <w:left w:val="single" w:color="CBCDD1" w:sz="4" w:space="0"/>
              <w:bottom w:val="single" w:color="CBCDD1" w:sz="4" w:space="0"/>
              <w:right w:val="single" w:color="CBCDD1" w:sz="4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796D1A00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left="0" w:right="0"/>
              <w:jc w:val="left"/>
            </w:pPr>
            <w:r>
              <w:drawing>
                <wp:inline distT="0" distB="0" distL="114300" distR="114300">
                  <wp:extent cx="2714625" cy="1809750"/>
                  <wp:effectExtent l="0" t="0" r="3175" b="6350"/>
                  <wp:docPr id="2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C51A6">
      <w:pPr>
        <w:pStyle w:val="2"/>
        <w:rPr>
          <w:rFonts w:hint="eastAsia"/>
          <w:lang w:val="en-US" w:eastAsia="zh-CN"/>
        </w:rPr>
      </w:pPr>
    </w:p>
    <w:p w14:paraId="4DD0D8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项目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运营情况</w:t>
      </w:r>
      <w:r>
        <w:rPr>
          <w:rFonts w:hint="eastAsia" w:ascii="楷体" w:hAnsi="楷体" w:eastAsia="楷体" w:cs="楷体"/>
          <w:color w:val="3F3F3F"/>
          <w:sz w:val="28"/>
          <w:szCs w:val="28"/>
          <w:lang w:val="en-US" w:eastAsia="zh-CN"/>
        </w:rPr>
        <w:t>】</w:t>
      </w:r>
    </w:p>
    <w:p w14:paraId="5E5A2065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核心志愿者建设：从青苗成员各年级、各学校中招募选拔出18名核心志愿者，参与青苗计划的执行支持。</w:t>
      </w:r>
    </w:p>
    <w:p w14:paraId="78AC299B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3" w:lineRule="atLeast"/>
        <w:ind w:leftChars="0" w:right="0" w:rightChars="0"/>
        <w:jc w:val="left"/>
        <w:rPr>
          <w:rFonts w:hint="default" w:ascii="楷体" w:hAnsi="楷体" w:eastAsia="楷体" w:cs="楷体"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 xml:space="preserve">  </w:t>
      </w:r>
    </w:p>
    <w:p w14:paraId="4DFD9C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【项目品牌传播情况】</w:t>
      </w:r>
    </w:p>
    <w:p w14:paraId="188AED7C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2024项目周期内，青苗计划的项目品牌传播主要为项目启动传播、项目活动传播，以及项目口号的征集确认、项目简章的优化修改。</w:t>
      </w:r>
    </w:p>
    <w:p w14:paraId="71E1F2D3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</w:p>
    <w:p w14:paraId="271641C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360" w:lineRule="auto"/>
        <w:jc w:val="both"/>
        <w:textAlignment w:val="auto"/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  <w:t>项目成效与影响</w:t>
      </w:r>
    </w:p>
    <w:p w14:paraId="28B22F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【项目成效】</w:t>
      </w:r>
    </w:p>
    <w:p w14:paraId="73A0CB3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  <w:t>1、直接的服务成效：</w:t>
      </w:r>
    </w:p>
    <w:p w14:paraId="05A7E25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  <w:t xml:space="preserve">   （1）</w:t>
      </w:r>
      <w:r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  <w:t>通过奖学金缓解了低年级公费师范生的成长经费压力，并增强了师范生认同感和项目认同感</w:t>
      </w:r>
      <w:r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  <w:t>。在2024年秋季奖学金发放之际，我们向青苗奖学金获得者发放了反馈调查问卷，了解了春季奖学金的实际使用情况和感受：</w:t>
      </w:r>
    </w:p>
    <w:p w14:paraId="06B05B97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  <w:t>春季奖学金情况与当时的成员使用计划高度保持一致，且春季奖学金和秋季奖学金计划一致性很高：教育支出占比较高：生活费用及补贴家用占比中等；</w:t>
      </w:r>
    </w:p>
    <w:p w14:paraId="683AD0DA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  <w:t>“荣誉感、压力和动力、感觉没有被弘慧抛弃、感觉被支持”是关键感受词；</w:t>
      </w:r>
    </w:p>
    <w:p w14:paraId="2A263D45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  <w:t>有效联络了预计200名弘慧学子公费师范生；</w:t>
      </w:r>
    </w:p>
    <w:p w14:paraId="4A569AF9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  <w:t>研学活动连接了目前在岗3-5年优秀弘慧学子教师，同时研学真正起到了吸引作用，激励目前低年级在读的师范生完成项目要求，获得研学机会。</w:t>
      </w:r>
    </w:p>
    <w:p w14:paraId="547959B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</w:pPr>
    </w:p>
    <w:p w14:paraId="092A724F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F3F3F"/>
          <w:sz w:val="28"/>
          <w:szCs w:val="28"/>
          <w:lang w:val="en-US" w:eastAsia="zh-CN"/>
        </w:rPr>
        <w:t>项目管理成效：</w:t>
      </w:r>
    </w:p>
    <w:p w14:paraId="6E8A0F4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F3F3F"/>
          <w:sz w:val="28"/>
          <w:szCs w:val="28"/>
          <w:lang w:val="en-US" w:eastAsia="zh-CN"/>
        </w:rPr>
        <w:t>作为一个新项目，青苗计划的项目在执行一年后，做了必要的调整与迭代，保留作为新项目的开放性，借助机构组织的变革理论培训，项目更清晰的识别了节点问题--弘慧定向公费师范生的职业认同感，产出了青苗计划变革理论模型。</w:t>
      </w:r>
    </w:p>
    <w:p w14:paraId="241CD8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color w:val="3F3F3F"/>
          <w:sz w:val="24"/>
          <w:szCs w:val="24"/>
          <w:lang w:val="en-US" w:eastAsia="zh-CN"/>
        </w:rPr>
      </w:pPr>
    </w:p>
    <w:p w14:paraId="4EBC776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360" w:lineRule="auto"/>
        <w:jc w:val="both"/>
        <w:textAlignment w:val="auto"/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3F3F3F"/>
          <w:sz w:val="28"/>
          <w:szCs w:val="28"/>
          <w:lang w:val="en-US" w:eastAsia="zh-CN"/>
        </w:rPr>
        <w:t>项目反思与挑战</w:t>
      </w:r>
    </w:p>
    <w:p w14:paraId="184F52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3F3F3F"/>
          <w:sz w:val="28"/>
          <w:szCs w:val="28"/>
          <w:lang w:val="en-US" w:eastAsia="zh-CN"/>
        </w:rPr>
        <w:t>【项目反思】</w:t>
      </w:r>
    </w:p>
    <w:p w14:paraId="085CB9A9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1、加入项目不设门槛，但是参与项目活动需要设计参与门槛，关注到并选拔出有意愿、动力为乡村教育服务的弘慧学子，搭建金字塔型&amp;螺旋型的项目活动体系；</w:t>
      </w:r>
    </w:p>
    <w:p w14:paraId="4813B24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20" w:lineRule="exact"/>
        <w:ind w:left="459" w:leftChars="0" w:right="0" w:rightChars="0" w:firstLine="482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2、青苗研学可以打造成青苗计划项目品牌活动，同时服务即将上岗、上岗前三年、服务期后持续在乡村任教的三类群体。需要完善不同阶段参与研学的报名条件；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5"/>
        <w:gridCol w:w="4924"/>
      </w:tblGrid>
      <w:tr w14:paraId="2E894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5" w:type="dxa"/>
          </w:tcPr>
          <w:p w14:paraId="1066B689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群体</w:t>
            </w:r>
          </w:p>
        </w:tc>
        <w:tc>
          <w:tcPr>
            <w:tcW w:w="4924" w:type="dxa"/>
          </w:tcPr>
          <w:p w14:paraId="749C8A62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报名条件(待讨论）</w:t>
            </w:r>
          </w:p>
        </w:tc>
      </w:tr>
      <w:tr w14:paraId="41904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5" w:type="dxa"/>
          </w:tcPr>
          <w:p w14:paraId="0748B36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即将上岗</w:t>
            </w:r>
          </w:p>
        </w:tc>
        <w:tc>
          <w:tcPr>
            <w:tcW w:w="4924" w:type="dxa"/>
          </w:tcPr>
          <w:p w14:paraId="2D9E1C2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担任乡村训练营志愿者</w:t>
            </w:r>
          </w:p>
        </w:tc>
      </w:tr>
      <w:tr w14:paraId="4F633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5" w:type="dxa"/>
          </w:tcPr>
          <w:p w14:paraId="380A886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上岗前三年</w:t>
            </w:r>
          </w:p>
        </w:tc>
        <w:tc>
          <w:tcPr>
            <w:tcW w:w="4924" w:type="dxa"/>
          </w:tcPr>
          <w:p w14:paraId="77554F81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开展青苗实践取得一定成效</w:t>
            </w:r>
          </w:p>
        </w:tc>
      </w:tr>
      <w:tr w14:paraId="1A224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5" w:type="dxa"/>
          </w:tcPr>
          <w:p w14:paraId="2E2A7FB6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服务期满后持续在乡村任教</w:t>
            </w:r>
          </w:p>
        </w:tc>
        <w:tc>
          <w:tcPr>
            <w:tcW w:w="4924" w:type="dxa"/>
          </w:tcPr>
          <w:p w14:paraId="0A44F285">
            <w:pPr>
              <w:pStyle w:val="7"/>
              <w:keepNext w:val="0"/>
              <w:keepLines w:val="0"/>
              <w:widowControl/>
              <w:suppressLineNumbers w:val="0"/>
              <w:spacing w:before="60" w:beforeAutospacing="0" w:after="60" w:afterAutospacing="0" w:line="13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弘慧项目合作学校任教，报名审核</w:t>
            </w:r>
          </w:p>
        </w:tc>
      </w:tr>
    </w:tbl>
    <w:p w14:paraId="0758E7F0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headerReference r:id="rId3" w:type="first"/>
      <w:pgSz w:w="11909" w:h="16834"/>
      <w:pgMar w:top="1440" w:right="1418" w:bottom="1440" w:left="1418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sto MT">
    <w:panose1 w:val="02040603050505030304"/>
    <w:charset w:val="00"/>
    <w:family w:val="roman"/>
    <w:pitch w:val="default"/>
    <w:sig w:usb0="00000003" w:usb1="00000000" w:usb2="00000000" w:usb3="00000000" w:csb0="2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826FD">
    <w:pPr>
      <w:pStyle w:val="5"/>
      <w:jc w:val="left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AF9C72"/>
    <w:multiLevelType w:val="singleLevel"/>
    <w:tmpl w:val="86AF9C7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D011C42"/>
    <w:multiLevelType w:val="singleLevel"/>
    <w:tmpl w:val="BD011C42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>
    <w:nsid w:val="F9526163"/>
    <w:multiLevelType w:val="singleLevel"/>
    <w:tmpl w:val="F9526163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1D1ABCF3"/>
    <w:multiLevelType w:val="singleLevel"/>
    <w:tmpl w:val="1D1ABCF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2871E5F6"/>
    <w:multiLevelType w:val="multilevel"/>
    <w:tmpl w:val="2871E5F6"/>
    <w:lvl w:ilvl="0" w:tentative="0">
      <w:start w:val="1"/>
      <w:numFmt w:val="decimal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)"/>
      <w:lvlJc w:val="left"/>
      <w:pPr>
        <w:ind w:left="6480"/>
      </w:pPr>
      <w:rPr>
        <w:rFonts w:hint="default" w:ascii="Times New Roman" w:hAnsi="Times New Roman"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5B408D"/>
    <w:rsid w:val="0B5B408D"/>
    <w:rsid w:val="10943041"/>
    <w:rsid w:val="1C2F4C4D"/>
    <w:rsid w:val="1F024E4B"/>
    <w:rsid w:val="251B512C"/>
    <w:rsid w:val="2F5B27BA"/>
    <w:rsid w:val="2FAA48BF"/>
    <w:rsid w:val="35D703D8"/>
    <w:rsid w:val="438927A9"/>
    <w:rsid w:val="5ADA6515"/>
    <w:rsid w:val="67582786"/>
    <w:rsid w:val="6F4D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sto MT" w:hAnsi="Calisto MT" w:eastAsia="黑体" w:cs="Times New Roman"/>
      <w:color w:val="3F3F3F"/>
      <w:szCs w:val="22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left="720"/>
    </w:pPr>
  </w:style>
  <w:style w:type="paragraph" w:styleId="3">
    <w:name w:val="annotation text"/>
    <w:basedOn w:val="1"/>
    <w:unhideWhenUsed/>
    <w:qFormat/>
    <w:uiPriority w:val="0"/>
    <w:rPr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spacing w:after="200"/>
      <w:ind w:right="144"/>
      <w:jc w:val="right"/>
    </w:pPr>
    <w:rPr>
      <w:color w:val="4B5A60"/>
      <w:szCs w:val="24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nhideWhenUsed/>
    <w:qFormat/>
    <w:uiPriority w:val="0"/>
    <w:rPr>
      <w:rFonts w:ascii="Times New Roman" w:hAnsi="Times New Roman" w:cs="Times New Roman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2365</Words>
  <Characters>2714</Characters>
  <Lines>0</Lines>
  <Paragraphs>0</Paragraphs>
  <TotalTime>34</TotalTime>
  <ScaleCrop>false</ScaleCrop>
  <LinksUpToDate>false</LinksUpToDate>
  <CharactersWithSpaces>2722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2024-12-16T04:17:00Z</dcterms:created>
  <dc:creator>刘海毛毛</dc:creator>
  <cp:lastModifiedBy>默</cp:lastModifiedBy>
  <dcterms:modified xsi:type="dcterms:W3CDTF">2025-01-21T02:44:15Z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0753300D0D834ADF83A6EEC8C50D5065_13</vt:lpwstr>
  </property>
  <property fmtid="{D5CDD505-2E9C-101B-9397-08002B2CF9AE}" pid="4" name="KSOTemplateDocerSaveRecord">
    <vt:lpwstr>eyJoZGlkIjoiOGZlYmE0OGUzZTBlYzIwODY4MDdiOTQ0Zjc2MmMwNWYiLCJ1c2VySWQiOiIyNDY0MDkxMzYifQ==</vt:lpwstr>
  </property>
</Properties>
</file>