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6D9EA">
      <w:pPr>
        <w:spacing w:line="360" w:lineRule="auto"/>
        <w:jc w:val="center"/>
        <w:rPr>
          <w:rFonts w:hint="eastAsia" w:ascii="方正小标宋简体" w:hAnsi="方正小标宋简体" w:eastAsia="方正小标宋简体" w:cs="方正小标宋简体"/>
          <w:color w:val="3F3F3F"/>
          <w:sz w:val="36"/>
          <w:szCs w:val="36"/>
          <w:lang w:val="en-US" w:eastAsia="zh-CN"/>
        </w:rPr>
      </w:pPr>
      <w:r>
        <w:rPr>
          <w:rFonts w:hint="eastAsia" w:ascii="方正小标宋简体" w:hAnsi="方正小标宋简体" w:eastAsia="方正小标宋简体" w:cs="方正小标宋简体"/>
          <w:color w:val="3F3F3F"/>
          <w:sz w:val="36"/>
          <w:szCs w:val="36"/>
          <w:lang w:val="en-US" w:eastAsia="zh-CN"/>
        </w:rPr>
        <w:t>弘慧青苗计划</w:t>
      </w:r>
      <w:r>
        <w:rPr>
          <w:rFonts w:hint="eastAsia" w:ascii="方正小标宋简体" w:hAnsi="方正小标宋简体" w:eastAsia="方正小标宋简体" w:cs="方正小标宋简体"/>
          <w:color w:val="3F3F3F"/>
          <w:sz w:val="36"/>
          <w:szCs w:val="36"/>
          <w:lang w:eastAsia="zh-CN"/>
        </w:rPr>
        <w:t>项目</w:t>
      </w:r>
      <w:r>
        <w:rPr>
          <w:rFonts w:hint="eastAsia" w:ascii="方正小标宋简体" w:hAnsi="方正小标宋简体" w:eastAsia="方正小标宋简体" w:cs="方正小标宋简体"/>
          <w:color w:val="3F3F3F"/>
          <w:sz w:val="36"/>
          <w:szCs w:val="36"/>
          <w:lang w:val="en-US" w:eastAsia="zh-CN"/>
        </w:rPr>
        <w:t>总结</w:t>
      </w:r>
      <w:r>
        <w:rPr>
          <w:rFonts w:hint="eastAsia" w:ascii="方正小标宋简体" w:hAnsi="方正小标宋简体" w:eastAsia="方正小标宋简体" w:cs="方正小标宋简体"/>
          <w:color w:val="3F3F3F"/>
          <w:sz w:val="36"/>
          <w:szCs w:val="36"/>
          <w:lang w:eastAsia="zh-CN"/>
        </w:rPr>
        <w:t>报告</w:t>
      </w:r>
    </w:p>
    <w:p w14:paraId="3D3AA04F">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360" w:lineRule="auto"/>
        <w:jc w:val="both"/>
        <w:textAlignment w:val="auto"/>
        <w:rPr>
          <w:rFonts w:hint="eastAsia" w:ascii="方正小标宋简体" w:hAnsi="方正小标宋简体" w:eastAsia="方正小标宋简体" w:cs="方正小标宋简体"/>
          <w:b/>
          <w:bCs/>
          <w:color w:val="3F3F3F"/>
          <w:sz w:val="28"/>
          <w:szCs w:val="28"/>
          <w:lang w:val="en-US" w:eastAsia="zh-CN"/>
        </w:rPr>
      </w:pPr>
      <w:r>
        <w:rPr>
          <w:rFonts w:hint="eastAsia" w:ascii="方正小标宋简体" w:hAnsi="方正小标宋简体" w:eastAsia="方正小标宋简体" w:cs="方正小标宋简体"/>
          <w:b/>
          <w:bCs/>
          <w:color w:val="3F3F3F"/>
          <w:sz w:val="28"/>
          <w:szCs w:val="28"/>
          <w:lang w:val="en-US" w:eastAsia="zh-CN"/>
        </w:rPr>
        <w:t>项目基础情况</w:t>
      </w:r>
    </w:p>
    <w:p w14:paraId="5B4C5E1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val="0"/>
          <w:bCs w:val="0"/>
          <w:color w:val="3F3F3F"/>
          <w:sz w:val="28"/>
          <w:szCs w:val="28"/>
          <w:lang w:val="en-US" w:eastAsia="zh-CN"/>
        </w:rPr>
        <w:t>【</w:t>
      </w:r>
      <w:r>
        <w:rPr>
          <w:rFonts w:hint="eastAsia" w:ascii="方正仿宋_GB2312" w:hAnsi="方正仿宋_GB2312" w:eastAsia="方正仿宋_GB2312" w:cs="方正仿宋_GB2312"/>
          <w:b w:val="0"/>
          <w:bCs w:val="0"/>
          <w:sz w:val="28"/>
          <w:szCs w:val="28"/>
        </w:rPr>
        <w:t>项目</w:t>
      </w:r>
      <w:r>
        <w:rPr>
          <w:rFonts w:hint="eastAsia" w:ascii="方正仿宋_GB2312" w:hAnsi="方正仿宋_GB2312" w:eastAsia="方正仿宋_GB2312" w:cs="方正仿宋_GB2312"/>
          <w:b w:val="0"/>
          <w:bCs w:val="0"/>
          <w:sz w:val="28"/>
          <w:szCs w:val="28"/>
          <w:lang w:val="en-US" w:eastAsia="zh-CN"/>
        </w:rPr>
        <w:t>名称</w:t>
      </w:r>
      <w:r>
        <w:rPr>
          <w:rFonts w:hint="eastAsia" w:ascii="方正仿宋_GB2312" w:hAnsi="方正仿宋_GB2312" w:eastAsia="方正仿宋_GB2312" w:cs="方正仿宋_GB2312"/>
          <w:color w:val="3F3F3F"/>
          <w:sz w:val="28"/>
          <w:szCs w:val="28"/>
          <w:lang w:val="en-US" w:eastAsia="zh-CN"/>
        </w:rPr>
        <w:t>】筑梦计划-</w:t>
      </w:r>
      <w:r>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t>青苗计划</w:t>
      </w:r>
    </w:p>
    <w:p w14:paraId="6024332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color w:val="3F3F3F"/>
          <w:sz w:val="28"/>
          <w:szCs w:val="28"/>
          <w:lang w:val="en-US" w:eastAsia="zh-CN"/>
        </w:rPr>
      </w:pPr>
      <w:r>
        <w:rPr>
          <w:rFonts w:hint="eastAsia" w:ascii="方正仿宋_GB2312" w:hAnsi="方正仿宋_GB2312" w:eastAsia="方正仿宋_GB2312" w:cs="方正仿宋_GB2312"/>
          <w:b w:val="0"/>
          <w:bCs w:val="0"/>
          <w:color w:val="3F3F3F"/>
          <w:sz w:val="28"/>
          <w:szCs w:val="28"/>
          <w:lang w:val="en-US" w:eastAsia="zh-CN"/>
        </w:rPr>
        <w:t>【报告</w:t>
      </w:r>
      <w:r>
        <w:rPr>
          <w:rFonts w:hint="eastAsia" w:ascii="方正仿宋_GB2312" w:hAnsi="方正仿宋_GB2312" w:eastAsia="方正仿宋_GB2312" w:cs="方正仿宋_GB2312"/>
          <w:b w:val="0"/>
          <w:bCs w:val="0"/>
          <w:sz w:val="28"/>
          <w:szCs w:val="28"/>
          <w:lang w:val="en-US" w:eastAsia="zh-CN"/>
        </w:rPr>
        <w:t>周期</w:t>
      </w:r>
      <w:r>
        <w:rPr>
          <w:rFonts w:hint="eastAsia" w:ascii="方正仿宋_GB2312" w:hAnsi="方正仿宋_GB2312" w:eastAsia="方正仿宋_GB2312" w:cs="方正仿宋_GB2312"/>
          <w:color w:val="3F3F3F"/>
          <w:sz w:val="28"/>
          <w:szCs w:val="28"/>
          <w:lang w:val="en-US" w:eastAsia="zh-CN"/>
        </w:rPr>
        <w:t>】</w:t>
      </w:r>
      <w:r>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t>2024.9-2025.8</w:t>
      </w:r>
    </w:p>
    <w:p w14:paraId="3AD3FE7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color w:val="3F3F3F"/>
          <w:sz w:val="28"/>
          <w:szCs w:val="28"/>
          <w:lang w:val="en-US" w:eastAsia="zh-CN"/>
        </w:rPr>
      </w:pPr>
      <w:r>
        <w:rPr>
          <w:rFonts w:hint="eastAsia" w:ascii="方正仿宋_GB2312" w:hAnsi="方正仿宋_GB2312" w:eastAsia="方正仿宋_GB2312" w:cs="方正仿宋_GB2312"/>
          <w:b w:val="0"/>
          <w:bCs w:val="0"/>
          <w:color w:val="3F3F3F"/>
          <w:sz w:val="28"/>
          <w:szCs w:val="28"/>
          <w:lang w:val="en-US" w:eastAsia="zh-CN"/>
        </w:rPr>
        <w:t>【</w:t>
      </w:r>
      <w:r>
        <w:rPr>
          <w:rFonts w:hint="eastAsia" w:ascii="方正仿宋_GB2312" w:hAnsi="方正仿宋_GB2312" w:eastAsia="方正仿宋_GB2312" w:cs="方正仿宋_GB2312"/>
          <w:b w:val="0"/>
          <w:bCs w:val="0"/>
          <w:sz w:val="28"/>
          <w:szCs w:val="28"/>
        </w:rPr>
        <w:t>项目</w:t>
      </w:r>
      <w:r>
        <w:rPr>
          <w:rFonts w:hint="eastAsia" w:ascii="方正仿宋_GB2312" w:hAnsi="方正仿宋_GB2312" w:eastAsia="方正仿宋_GB2312" w:cs="方正仿宋_GB2312"/>
          <w:b w:val="0"/>
          <w:bCs w:val="0"/>
          <w:sz w:val="28"/>
          <w:szCs w:val="28"/>
          <w:lang w:val="en-US" w:eastAsia="zh-CN"/>
        </w:rPr>
        <w:t>负责人</w:t>
      </w:r>
      <w:r>
        <w:rPr>
          <w:rFonts w:hint="eastAsia" w:ascii="方正仿宋_GB2312" w:hAnsi="方正仿宋_GB2312" w:eastAsia="方正仿宋_GB2312" w:cs="方正仿宋_GB2312"/>
          <w:color w:val="3F3F3F"/>
          <w:sz w:val="28"/>
          <w:szCs w:val="28"/>
          <w:lang w:val="en-US" w:eastAsia="zh-CN"/>
        </w:rPr>
        <w:t>】</w:t>
      </w:r>
      <w:r>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t>刘海杏</w:t>
      </w:r>
    </w:p>
    <w:p w14:paraId="50C0565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color w:val="3F3F3F"/>
          <w:sz w:val="28"/>
          <w:szCs w:val="28"/>
          <w:lang w:val="en-US" w:eastAsia="zh-CN"/>
        </w:rPr>
      </w:pPr>
      <w:r>
        <w:rPr>
          <w:rFonts w:hint="eastAsia" w:ascii="方正仿宋_GB2312" w:hAnsi="方正仿宋_GB2312" w:eastAsia="方正仿宋_GB2312" w:cs="方正仿宋_GB2312"/>
          <w:b w:val="0"/>
          <w:bCs w:val="0"/>
          <w:color w:val="3F3F3F"/>
          <w:sz w:val="28"/>
          <w:szCs w:val="28"/>
          <w:lang w:val="en-US" w:eastAsia="zh-CN"/>
        </w:rPr>
        <w:t>【</w:t>
      </w:r>
      <w:r>
        <w:rPr>
          <w:rFonts w:hint="eastAsia" w:ascii="方正仿宋_GB2312" w:hAnsi="方正仿宋_GB2312" w:eastAsia="方正仿宋_GB2312" w:cs="方正仿宋_GB2312"/>
          <w:b w:val="0"/>
          <w:bCs w:val="0"/>
          <w:sz w:val="28"/>
          <w:szCs w:val="28"/>
        </w:rPr>
        <w:t>项目实施区域</w:t>
      </w:r>
      <w:r>
        <w:rPr>
          <w:rFonts w:hint="eastAsia" w:ascii="方正仿宋_GB2312" w:hAnsi="方正仿宋_GB2312" w:eastAsia="方正仿宋_GB2312" w:cs="方正仿宋_GB2312"/>
          <w:color w:val="3F3F3F"/>
          <w:sz w:val="28"/>
          <w:szCs w:val="28"/>
          <w:lang w:val="en-US" w:eastAsia="zh-CN"/>
        </w:rPr>
        <w:t>】</w:t>
      </w:r>
      <w:r>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t>筑梦计划合作县域</w:t>
      </w:r>
    </w:p>
    <w:p w14:paraId="0DF9A77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pPr>
      <w:r>
        <w:rPr>
          <w:rFonts w:hint="eastAsia" w:ascii="方正仿宋_GB2312" w:hAnsi="方正仿宋_GB2312" w:eastAsia="方正仿宋_GB2312" w:cs="方正仿宋_GB2312"/>
          <w:color w:val="3F3F3F"/>
          <w:sz w:val="28"/>
          <w:szCs w:val="28"/>
          <w:lang w:val="en-US" w:eastAsia="zh-CN"/>
        </w:rPr>
        <w:t>【项目对象】</w:t>
      </w:r>
      <w:r>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t>申请确认制 初中毕业后考入公费师范的弘慧学子</w:t>
      </w:r>
    </w:p>
    <w:p w14:paraId="4DE8F1C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color w:val="3F3F3F"/>
          <w:sz w:val="28"/>
          <w:szCs w:val="28"/>
          <w:lang w:val="en-US" w:eastAsia="zh-CN"/>
        </w:rPr>
      </w:pPr>
      <w:r>
        <w:rPr>
          <w:rFonts w:hint="eastAsia" w:ascii="方正仿宋_GB2312" w:hAnsi="方正仿宋_GB2312" w:eastAsia="方正仿宋_GB2312" w:cs="方正仿宋_GB2312"/>
          <w:color w:val="3F3F3F"/>
          <w:sz w:val="28"/>
          <w:szCs w:val="28"/>
          <w:lang w:val="en-US" w:eastAsia="zh-CN"/>
        </w:rPr>
        <w:t>【</w:t>
      </w:r>
      <w:r>
        <w:rPr>
          <w:rFonts w:hint="default" w:ascii="方正仿宋_GB2312" w:hAnsi="方正仿宋_GB2312" w:eastAsia="方正仿宋_GB2312" w:cs="方正仿宋_GB2312"/>
          <w:color w:val="3F3F3F"/>
          <w:sz w:val="28"/>
          <w:szCs w:val="28"/>
          <w:lang w:val="en-US" w:eastAsia="zh-CN"/>
        </w:rPr>
        <w:t>项目核心愿景与目标</w:t>
      </w:r>
      <w:r>
        <w:rPr>
          <w:rFonts w:hint="eastAsia" w:ascii="方正仿宋_GB2312" w:hAnsi="方正仿宋_GB2312" w:eastAsia="方正仿宋_GB2312" w:cs="方正仿宋_GB2312"/>
          <w:color w:val="3F3F3F"/>
          <w:sz w:val="28"/>
          <w:szCs w:val="28"/>
          <w:lang w:val="en-US" w:eastAsia="zh-CN"/>
        </w:rPr>
        <w:t>】青苗计划传承筑梦计划的长期陪伴的理念，通过发放奖学金、提供体验式研学机会，建立项目社群、搭建资源平台，鼓励开展教育实践，来长期关注并提升乡村公费师范生入学到初任教师阶段的职业认同感，让他们更有机会成长为乡村青年教育家。</w:t>
      </w:r>
    </w:p>
    <w:p w14:paraId="56FA56A2">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360" w:lineRule="auto"/>
        <w:jc w:val="both"/>
        <w:textAlignment w:val="auto"/>
        <w:rPr>
          <w:rFonts w:hint="eastAsia" w:ascii="方正小标宋简体" w:hAnsi="方正小标宋简体" w:eastAsia="方正小标宋简体" w:cs="方正小标宋简体"/>
          <w:b/>
          <w:bCs/>
          <w:color w:val="3F3F3F"/>
          <w:sz w:val="28"/>
          <w:szCs w:val="28"/>
          <w:lang w:val="en-US" w:eastAsia="zh-CN"/>
        </w:rPr>
      </w:pPr>
      <w:r>
        <w:rPr>
          <w:rFonts w:hint="eastAsia" w:ascii="方正小标宋简体" w:hAnsi="方正小标宋简体" w:eastAsia="方正小标宋简体" w:cs="方正小标宋简体"/>
          <w:b/>
          <w:bCs/>
          <w:color w:val="3F3F3F"/>
          <w:sz w:val="28"/>
          <w:szCs w:val="28"/>
          <w:lang w:val="en-US" w:eastAsia="zh-CN"/>
        </w:rPr>
        <w:t>项目资金支出情况</w:t>
      </w:r>
    </w:p>
    <w:tbl>
      <w:tblPr>
        <w:tblStyle w:val="9"/>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856"/>
        <w:gridCol w:w="1116"/>
        <w:gridCol w:w="2264"/>
        <w:gridCol w:w="1379"/>
        <w:gridCol w:w="2690"/>
      </w:tblGrid>
      <w:tr w14:paraId="444E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1856" w:type="dxa"/>
            <w:shd w:val="clear" w:color="auto" w:fill="auto"/>
            <w:vAlign w:val="center"/>
          </w:tcPr>
          <w:p w14:paraId="02300B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支出项</w:t>
            </w:r>
          </w:p>
        </w:tc>
        <w:tc>
          <w:tcPr>
            <w:tcW w:w="1116" w:type="dxa"/>
            <w:shd w:val="clear" w:color="auto" w:fill="auto"/>
            <w:noWrap/>
            <w:vAlign w:val="center"/>
          </w:tcPr>
          <w:p w14:paraId="4B0D08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预算金额</w:t>
            </w:r>
          </w:p>
        </w:tc>
        <w:tc>
          <w:tcPr>
            <w:tcW w:w="2264" w:type="dxa"/>
            <w:shd w:val="clear" w:color="auto" w:fill="auto"/>
            <w:noWrap/>
            <w:vAlign w:val="center"/>
          </w:tcPr>
          <w:p w14:paraId="658F7D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c>
          <w:tcPr>
            <w:tcW w:w="1379" w:type="dxa"/>
            <w:shd w:val="clear" w:color="auto" w:fill="auto"/>
            <w:noWrap/>
            <w:vAlign w:val="center"/>
          </w:tcPr>
          <w:p w14:paraId="2F3ED1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实际支出</w:t>
            </w:r>
          </w:p>
        </w:tc>
        <w:tc>
          <w:tcPr>
            <w:tcW w:w="2690" w:type="dxa"/>
            <w:shd w:val="clear" w:color="auto" w:fill="auto"/>
            <w:noWrap/>
            <w:vAlign w:val="center"/>
          </w:tcPr>
          <w:p w14:paraId="744342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差异说明</w:t>
            </w:r>
          </w:p>
        </w:tc>
      </w:tr>
      <w:tr w14:paraId="7FFC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856" w:type="dxa"/>
            <w:shd w:val="clear" w:color="auto" w:fill="auto"/>
            <w:vAlign w:val="center"/>
          </w:tcPr>
          <w:p w14:paraId="7CEB32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2024-2025学年青苗奖学金</w:t>
            </w:r>
          </w:p>
        </w:tc>
        <w:tc>
          <w:tcPr>
            <w:tcW w:w="1116" w:type="dxa"/>
            <w:shd w:val="clear" w:color="auto" w:fill="auto"/>
            <w:noWrap/>
            <w:vAlign w:val="center"/>
          </w:tcPr>
          <w:p w14:paraId="35EE52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2264" w:type="dxa"/>
            <w:shd w:val="clear" w:color="auto" w:fill="auto"/>
            <w:vAlign w:val="center"/>
          </w:tcPr>
          <w:p w14:paraId="48109D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30名弘慧大学生（公费师范生）的奖学金</w:t>
            </w:r>
          </w:p>
        </w:tc>
        <w:tc>
          <w:tcPr>
            <w:tcW w:w="1379" w:type="dxa"/>
            <w:shd w:val="clear" w:color="auto" w:fill="auto"/>
            <w:noWrap/>
            <w:vAlign w:val="center"/>
          </w:tcPr>
          <w:p w14:paraId="1A5C3C3F">
            <w:pPr>
              <w:keepNext w:val="0"/>
              <w:keepLines w:val="0"/>
              <w:widowControl/>
              <w:suppressLineNumbers w:val="0"/>
              <w:snapToGrid w:val="0"/>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60,000</w:t>
            </w:r>
          </w:p>
        </w:tc>
        <w:tc>
          <w:tcPr>
            <w:tcW w:w="2690" w:type="dxa"/>
            <w:shd w:val="clear" w:color="auto" w:fill="auto"/>
            <w:noWrap/>
            <w:vAlign w:val="center"/>
          </w:tcPr>
          <w:p w14:paraId="6E390C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无差异</w:t>
            </w:r>
          </w:p>
        </w:tc>
      </w:tr>
      <w:tr w14:paraId="1336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856" w:type="dxa"/>
            <w:shd w:val="clear" w:color="auto" w:fill="auto"/>
            <w:vAlign w:val="center"/>
          </w:tcPr>
          <w:p w14:paraId="477DB1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2025年青苗美育研学活动（广州）</w:t>
            </w:r>
          </w:p>
        </w:tc>
        <w:tc>
          <w:tcPr>
            <w:tcW w:w="1116" w:type="dxa"/>
            <w:shd w:val="clear" w:color="auto" w:fill="auto"/>
            <w:noWrap/>
            <w:vAlign w:val="center"/>
          </w:tcPr>
          <w:p w14:paraId="21FADB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57,000</w:t>
            </w:r>
          </w:p>
        </w:tc>
        <w:tc>
          <w:tcPr>
            <w:tcW w:w="2264" w:type="dxa"/>
            <w:shd w:val="clear" w:color="auto" w:fill="auto"/>
            <w:vAlign w:val="center"/>
          </w:tcPr>
          <w:p w14:paraId="114663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40名2025年返乡实习及教龄(1-5年内)的青苗代表参与研学活动</w:t>
            </w:r>
          </w:p>
        </w:tc>
        <w:tc>
          <w:tcPr>
            <w:tcW w:w="1379" w:type="dxa"/>
            <w:shd w:val="clear" w:color="auto" w:fill="auto"/>
            <w:noWrap/>
            <w:vAlign w:val="center"/>
          </w:tcPr>
          <w:p w14:paraId="73C6B6E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29867.5</w:t>
            </w:r>
          </w:p>
        </w:tc>
        <w:tc>
          <w:tcPr>
            <w:tcW w:w="2690" w:type="dxa"/>
            <w:shd w:val="clear" w:color="auto" w:fill="auto"/>
            <w:vAlign w:val="center"/>
          </w:tcPr>
          <w:p w14:paraId="385B7F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实际支出为预算的52%，原因为研学成员改为选拔，实际18人研学。</w:t>
            </w:r>
          </w:p>
        </w:tc>
      </w:tr>
      <w:tr w14:paraId="0D12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856" w:type="dxa"/>
            <w:shd w:val="clear" w:color="auto" w:fill="auto"/>
            <w:vAlign w:val="center"/>
          </w:tcPr>
          <w:p w14:paraId="2FBE1BFA">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青苗计划社群运营</w:t>
            </w:r>
          </w:p>
        </w:tc>
        <w:tc>
          <w:tcPr>
            <w:tcW w:w="1116" w:type="dxa"/>
            <w:shd w:val="clear" w:color="auto" w:fill="auto"/>
            <w:noWrap/>
            <w:vAlign w:val="center"/>
          </w:tcPr>
          <w:p w14:paraId="425ED06B">
            <w:pPr>
              <w:keepNext w:val="0"/>
              <w:keepLines w:val="0"/>
              <w:widowControl/>
              <w:suppressLineNumbers w:val="0"/>
              <w:snapToGrid w:val="0"/>
              <w:ind w:left="0" w:leftChars="0" w:right="0" w:rightChars="0" w:firstLine="0" w:firstLineChars="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2264" w:type="dxa"/>
            <w:shd w:val="clear" w:color="auto" w:fill="auto"/>
            <w:vAlign w:val="center"/>
          </w:tcPr>
          <w:p w14:paraId="243744E1">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青苗成员线下社群活动</w:t>
            </w:r>
          </w:p>
        </w:tc>
        <w:tc>
          <w:tcPr>
            <w:tcW w:w="1379" w:type="dxa"/>
            <w:shd w:val="clear" w:color="auto" w:fill="auto"/>
            <w:noWrap/>
            <w:vAlign w:val="center"/>
          </w:tcPr>
          <w:p w14:paraId="6811DF97">
            <w:pPr>
              <w:keepNext w:val="0"/>
              <w:keepLines w:val="0"/>
              <w:widowControl/>
              <w:suppressLineNumbers w:val="0"/>
              <w:snapToGrid w:val="0"/>
              <w:ind w:left="0" w:leftChars="0" w:right="0" w:rightChars="0" w:firstLine="0" w:firstLineChars="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7705.25</w:t>
            </w:r>
          </w:p>
        </w:tc>
        <w:tc>
          <w:tcPr>
            <w:tcW w:w="2690" w:type="dxa"/>
            <w:shd w:val="clear" w:color="auto" w:fill="auto"/>
            <w:vAlign w:val="center"/>
          </w:tcPr>
          <w:p w14:paraId="7F79F4D8">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2025年增设支出，用于成员线下交流、学习活动的开展。</w:t>
            </w:r>
          </w:p>
        </w:tc>
      </w:tr>
      <w:tr w14:paraId="4662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2264" w:type="dxa"/>
            <w:gridSpan w:val="3"/>
            <w:shd w:val="clear" w:color="auto" w:fill="auto"/>
            <w:vAlign w:val="center"/>
          </w:tcPr>
          <w:p w14:paraId="031D661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合计</w:t>
            </w:r>
          </w:p>
        </w:tc>
        <w:tc>
          <w:tcPr>
            <w:tcW w:w="1379" w:type="dxa"/>
            <w:shd w:val="clear" w:color="auto" w:fill="auto"/>
            <w:noWrap/>
            <w:vAlign w:val="center"/>
          </w:tcPr>
          <w:p w14:paraId="0AC79B7A">
            <w:pPr>
              <w:keepNext w:val="0"/>
              <w:keepLines w:val="0"/>
              <w:widowControl/>
              <w:suppressLineNumbers w:val="0"/>
              <w:snapToGrid w:val="0"/>
              <w:ind w:left="0" w:leftChars="0" w:right="0" w:rightChars="0" w:firstLine="0" w:firstLineChars="0"/>
              <w:jc w:val="right"/>
              <w:textAlignment w:val="center"/>
              <w:rPr>
                <w:rFonts w:hint="default"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97572.75元</w:t>
            </w:r>
          </w:p>
        </w:tc>
        <w:tc>
          <w:tcPr>
            <w:tcW w:w="2690" w:type="dxa"/>
            <w:shd w:val="clear" w:color="auto" w:fill="auto"/>
            <w:vAlign w:val="center"/>
          </w:tcPr>
          <w:p w14:paraId="168DC8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000000"/>
                <w:kern w:val="0"/>
                <w:sz w:val="22"/>
                <w:szCs w:val="22"/>
                <w:u w:val="none"/>
                <w:lang w:val="en-US" w:eastAsia="zh-CN" w:bidi="ar"/>
              </w:rPr>
            </w:pPr>
          </w:p>
        </w:tc>
      </w:tr>
    </w:tbl>
    <w:p w14:paraId="0B7DE35E">
      <w:pPr>
        <w:keepNext w:val="0"/>
        <w:keepLines w:val="0"/>
        <w:pageBreakBefore w:val="0"/>
        <w:widowControl/>
        <w:tabs>
          <w:tab w:val="left" w:pos="7685"/>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i w:val="0"/>
          <w:iCs w:val="0"/>
          <w:color w:val="000000"/>
          <w:spacing w:val="0"/>
          <w:w w:val="100"/>
          <w:sz w:val="28"/>
          <w:szCs w:val="28"/>
          <w:vertAlign w:val="baseline"/>
          <w:lang w:val="en-US" w:eastAsia="zh-CN" w:bidi="ar-SA"/>
        </w:rPr>
        <w:tab/>
      </w:r>
    </w:p>
    <w:p w14:paraId="4C757F13">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eastAsia" w:ascii="方正小标宋简体" w:hAnsi="方正小标宋简体" w:eastAsia="方正小标宋简体" w:cs="方正小标宋简体"/>
          <w:b/>
          <w:bCs/>
          <w:color w:val="3F3F3F"/>
          <w:sz w:val="28"/>
          <w:szCs w:val="28"/>
          <w:lang w:val="en-US" w:eastAsia="zh-CN"/>
        </w:rPr>
      </w:pPr>
      <w:r>
        <w:rPr>
          <w:rFonts w:hint="eastAsia" w:ascii="方正小标宋简体" w:hAnsi="方正小标宋简体" w:eastAsia="方正小标宋简体" w:cs="方正小标宋简体"/>
          <w:b/>
          <w:bCs/>
          <w:color w:val="3F3F3F"/>
          <w:sz w:val="28"/>
          <w:szCs w:val="28"/>
          <w:lang w:val="en-US" w:eastAsia="zh-CN"/>
        </w:rPr>
        <w:t>项目执行情况</w:t>
      </w:r>
    </w:p>
    <w:p w14:paraId="7CF8D36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bCs/>
          <w:sz w:val="21"/>
          <w:szCs w:val="24"/>
        </w:rPr>
      </w:pPr>
      <w:r>
        <w:rPr>
          <w:rFonts w:hint="eastAsia" w:ascii="方正仿宋_GB2312" w:hAnsi="方正仿宋_GB2312" w:eastAsia="方正仿宋_GB2312" w:cs="方正仿宋_GB2312"/>
          <w:b/>
          <w:bCs/>
          <w:color w:val="3F3F3F"/>
          <w:sz w:val="28"/>
          <w:szCs w:val="28"/>
          <w:lang w:val="en-US" w:eastAsia="zh-CN"/>
        </w:rPr>
        <w:t>【</w:t>
      </w:r>
      <w:r>
        <w:rPr>
          <w:rFonts w:hint="eastAsia" w:ascii="方正仿宋_GB2312" w:hAnsi="方正仿宋_GB2312" w:eastAsia="方正仿宋_GB2312" w:cs="方正仿宋_GB2312"/>
          <w:b/>
          <w:bCs/>
          <w:sz w:val="28"/>
          <w:szCs w:val="28"/>
        </w:rPr>
        <w:t>项目</w:t>
      </w:r>
      <w:r>
        <w:rPr>
          <w:rFonts w:hint="eastAsia" w:ascii="方正仿宋_GB2312" w:hAnsi="方正仿宋_GB2312" w:eastAsia="方正仿宋_GB2312" w:cs="方正仿宋_GB2312"/>
          <w:b/>
          <w:bCs/>
          <w:sz w:val="28"/>
          <w:szCs w:val="28"/>
          <w:lang w:val="en-US" w:eastAsia="zh-CN"/>
        </w:rPr>
        <w:t>活动情况</w:t>
      </w:r>
      <w:r>
        <w:rPr>
          <w:rFonts w:hint="eastAsia" w:ascii="方正仿宋_GB2312" w:hAnsi="方正仿宋_GB2312" w:eastAsia="方正仿宋_GB2312" w:cs="方正仿宋_GB2312"/>
          <w:b/>
          <w:bCs/>
          <w:color w:val="3F3F3F"/>
          <w:sz w:val="28"/>
          <w:szCs w:val="28"/>
          <w:lang w:val="en-US" w:eastAsia="zh-CN"/>
        </w:rPr>
        <w:t>】</w:t>
      </w:r>
    </w:p>
    <w:p w14:paraId="3FAE90D5">
      <w:pPr>
        <w:pStyle w:val="8"/>
        <w:keepNext w:val="0"/>
        <w:keepLines w:val="0"/>
        <w:widowControl/>
        <w:numPr>
          <w:ilvl w:val="0"/>
          <w:numId w:val="2"/>
        </w:numPr>
        <w:suppressLineNumbers w:val="0"/>
        <w:spacing w:before="60" w:beforeAutospacing="0" w:after="60" w:afterAutospacing="0" w:line="13" w:lineRule="atLeast"/>
        <w:ind w:left="798" w:right="0" w:hanging="336"/>
        <w:jc w:val="left"/>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青苗奖学金发放</w:t>
      </w:r>
    </w:p>
    <w:p w14:paraId="47FE834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根据弘慧基金会奖助学金项目方案关于奖助学金申请、审批、拨付流程，本项目周期共有30名弘慧学子公费师范生获得青苗奖学金，共计发放</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60000（陆万整）</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w:t>
      </w:r>
      <w:r>
        <w:rPr>
          <w:rFonts w:ascii="Segoe UI" w:hAnsi="Segoe UI" w:eastAsia="Segoe UI" w:cs="Segoe UI"/>
          <w:i w:val="0"/>
          <w:iCs w:val="0"/>
          <w:caps w:val="0"/>
          <w:spacing w:val="0"/>
          <w:sz w:val="16"/>
          <w:szCs w:val="16"/>
          <w:shd w:val="clear" w:fill="FFFFFF"/>
        </w:rPr>
        <w:t>，</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具体发放明细如下表所示：</w:t>
      </w:r>
    </w:p>
    <w:tbl>
      <w:tblPr>
        <w:tblStyle w:val="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5"/>
        <w:gridCol w:w="486"/>
        <w:gridCol w:w="1442"/>
        <w:gridCol w:w="793"/>
        <w:gridCol w:w="1293"/>
        <w:gridCol w:w="514"/>
        <w:gridCol w:w="782"/>
        <w:gridCol w:w="1181"/>
        <w:gridCol w:w="1101"/>
        <w:gridCol w:w="1192"/>
      </w:tblGrid>
      <w:tr w14:paraId="021B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272" w:type="pct"/>
            <w:tcBorders>
              <w:top w:val="single" w:color="auto" w:sz="4" w:space="0"/>
              <w:left w:val="single" w:color="auto" w:sz="4" w:space="0"/>
              <w:bottom w:val="single" w:color="auto" w:sz="4" w:space="0"/>
              <w:right w:val="single" w:color="2B2B2B" w:sz="4" w:space="0"/>
            </w:tcBorders>
            <w:shd w:val="clear" w:color="auto" w:fill="auto"/>
            <w:vAlign w:val="center"/>
          </w:tcPr>
          <w:p w14:paraId="06FA618A">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序号</w:t>
            </w:r>
          </w:p>
        </w:tc>
        <w:tc>
          <w:tcPr>
            <w:tcW w:w="262" w:type="pct"/>
            <w:tcBorders>
              <w:top w:val="single" w:color="auto" w:sz="4" w:space="0"/>
              <w:left w:val="single" w:color="2B2B2B" w:sz="4" w:space="0"/>
              <w:bottom w:val="single" w:color="auto" w:sz="4" w:space="0"/>
              <w:right w:val="single" w:color="2B2B2B" w:sz="4" w:space="0"/>
            </w:tcBorders>
            <w:shd w:val="clear" w:color="auto" w:fill="auto"/>
            <w:vAlign w:val="center"/>
          </w:tcPr>
          <w:p w14:paraId="3980AD38">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县域</w:t>
            </w:r>
          </w:p>
        </w:tc>
        <w:tc>
          <w:tcPr>
            <w:tcW w:w="776" w:type="pct"/>
            <w:tcBorders>
              <w:top w:val="single" w:color="auto" w:sz="4" w:space="0"/>
              <w:left w:val="single" w:color="2B2B2B" w:sz="4" w:space="0"/>
              <w:bottom w:val="single" w:color="auto" w:sz="4" w:space="0"/>
              <w:right w:val="single" w:color="2B2B2B" w:sz="4" w:space="0"/>
            </w:tcBorders>
            <w:shd w:val="clear" w:color="auto" w:fill="auto"/>
            <w:vAlign w:val="center"/>
          </w:tcPr>
          <w:p w14:paraId="53E857C3">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师范学校</w:t>
            </w:r>
          </w:p>
        </w:tc>
        <w:tc>
          <w:tcPr>
            <w:tcW w:w="427" w:type="pct"/>
            <w:tcBorders>
              <w:top w:val="single" w:color="auto" w:sz="4" w:space="0"/>
              <w:left w:val="single" w:color="2B2B2B" w:sz="4" w:space="0"/>
              <w:bottom w:val="single" w:color="auto" w:sz="4" w:space="0"/>
              <w:right w:val="single" w:color="2B2B2B" w:sz="4" w:space="0"/>
            </w:tcBorders>
            <w:shd w:val="clear" w:color="auto" w:fill="auto"/>
            <w:vAlign w:val="center"/>
          </w:tcPr>
          <w:p w14:paraId="62C819E8">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年级</w:t>
            </w:r>
          </w:p>
        </w:tc>
        <w:tc>
          <w:tcPr>
            <w:tcW w:w="694" w:type="pct"/>
            <w:tcBorders>
              <w:top w:val="single" w:color="auto" w:sz="4" w:space="0"/>
              <w:left w:val="single" w:color="2B2B2B" w:sz="4" w:space="0"/>
              <w:bottom w:val="single" w:color="auto" w:sz="4" w:space="0"/>
              <w:right w:val="single" w:color="2B2B2B" w:sz="4" w:space="0"/>
            </w:tcBorders>
            <w:shd w:val="clear" w:color="auto" w:fill="auto"/>
            <w:vAlign w:val="center"/>
          </w:tcPr>
          <w:p w14:paraId="18738F4E">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项目名称</w:t>
            </w:r>
          </w:p>
        </w:tc>
        <w:tc>
          <w:tcPr>
            <w:tcW w:w="277" w:type="pct"/>
            <w:tcBorders>
              <w:top w:val="single" w:color="auto" w:sz="4" w:space="0"/>
              <w:left w:val="single" w:color="2B2B2B" w:sz="4" w:space="0"/>
              <w:bottom w:val="single" w:color="auto" w:sz="4" w:space="0"/>
              <w:right w:val="single" w:color="2B2B2B" w:sz="4" w:space="0"/>
            </w:tcBorders>
            <w:shd w:val="clear" w:color="auto" w:fill="auto"/>
            <w:vAlign w:val="center"/>
          </w:tcPr>
          <w:p w14:paraId="7E28797E">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人数</w:t>
            </w:r>
          </w:p>
        </w:tc>
        <w:tc>
          <w:tcPr>
            <w:tcW w:w="421" w:type="pct"/>
            <w:tcBorders>
              <w:top w:val="single" w:color="auto" w:sz="4" w:space="0"/>
              <w:left w:val="single" w:color="2B2B2B" w:sz="4" w:space="0"/>
              <w:bottom w:val="single" w:color="auto" w:sz="4" w:space="0"/>
              <w:right w:val="single" w:color="2B2B2B" w:sz="4" w:space="0"/>
            </w:tcBorders>
            <w:shd w:val="clear" w:color="auto" w:fill="auto"/>
            <w:vAlign w:val="center"/>
          </w:tcPr>
          <w:p w14:paraId="31C708B8">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春季发放(元）</w:t>
            </w:r>
          </w:p>
        </w:tc>
        <w:tc>
          <w:tcPr>
            <w:tcW w:w="636" w:type="pct"/>
            <w:tcBorders>
              <w:top w:val="single" w:color="auto" w:sz="4" w:space="0"/>
              <w:left w:val="single" w:color="2B2B2B" w:sz="4" w:space="0"/>
              <w:bottom w:val="single" w:color="auto" w:sz="4" w:space="0"/>
              <w:right w:val="single" w:color="2B2B2B" w:sz="4" w:space="0"/>
            </w:tcBorders>
            <w:shd w:val="clear" w:color="auto" w:fill="auto"/>
            <w:vAlign w:val="center"/>
          </w:tcPr>
          <w:p w14:paraId="5042224D">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秋季发放（元）</w:t>
            </w:r>
          </w:p>
        </w:tc>
        <w:tc>
          <w:tcPr>
            <w:tcW w:w="589" w:type="pct"/>
            <w:tcBorders>
              <w:top w:val="single" w:color="auto" w:sz="4" w:space="0"/>
              <w:left w:val="single" w:color="2B2B2B" w:sz="4" w:space="0"/>
              <w:bottom w:val="single" w:color="auto" w:sz="4" w:space="0"/>
              <w:right w:val="single" w:color="2B2B2B" w:sz="4" w:space="0"/>
            </w:tcBorders>
            <w:shd w:val="clear" w:color="auto" w:fill="auto"/>
            <w:noWrap/>
            <w:vAlign w:val="center"/>
          </w:tcPr>
          <w:p w14:paraId="5F665D96">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单人金额</w:t>
            </w:r>
          </w:p>
        </w:tc>
        <w:tc>
          <w:tcPr>
            <w:tcW w:w="641" w:type="pct"/>
            <w:tcBorders>
              <w:top w:val="single" w:color="auto" w:sz="4" w:space="0"/>
              <w:left w:val="single" w:color="2B2B2B" w:sz="4" w:space="0"/>
              <w:bottom w:val="single" w:color="auto" w:sz="4" w:space="0"/>
              <w:right w:val="single" w:color="auto" w:sz="4" w:space="0"/>
            </w:tcBorders>
            <w:shd w:val="clear" w:color="auto" w:fill="auto"/>
            <w:vAlign w:val="center"/>
          </w:tcPr>
          <w:p w14:paraId="1D1AA564">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全年奖学金金额</w:t>
            </w: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br w:type="textWrapping"/>
            </w: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（元）</w:t>
            </w:r>
          </w:p>
        </w:tc>
      </w:tr>
      <w:tr w14:paraId="37BD3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B99807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lang w:val="en-US" w:eastAsia="zh-CN"/>
              </w:rPr>
            </w:pPr>
            <w:r>
              <w:rPr>
                <w:rFonts w:hint="eastAsia" w:ascii="方正仿宋_GB2312" w:hAnsi="方正仿宋_GB2312" w:eastAsia="方正仿宋_GB2312" w:cs="方正仿宋_GB2312"/>
                <w:b/>
                <w:bCs/>
                <w:i w:val="0"/>
                <w:iCs w:val="0"/>
                <w:color w:val="000000"/>
                <w:sz w:val="20"/>
                <w:szCs w:val="20"/>
                <w:u w:val="none"/>
                <w:lang w:val="en-US" w:eastAsia="zh-CN"/>
              </w:rPr>
              <w:t>1</w:t>
            </w:r>
          </w:p>
        </w:tc>
        <w:tc>
          <w:tcPr>
            <w:tcW w:w="26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1AC02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沅陵</w:t>
            </w:r>
          </w:p>
        </w:tc>
        <w:tc>
          <w:tcPr>
            <w:tcW w:w="77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612792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怀化师范高等专科学校</w:t>
            </w:r>
          </w:p>
        </w:tc>
        <w:tc>
          <w:tcPr>
            <w:tcW w:w="42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7CF02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2023级</w:t>
            </w:r>
          </w:p>
        </w:tc>
        <w:tc>
          <w:tcPr>
            <w:tcW w:w="694"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488F83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弘慧青苗奖学金</w:t>
            </w:r>
          </w:p>
        </w:tc>
        <w:tc>
          <w:tcPr>
            <w:tcW w:w="27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62F69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13</w:t>
            </w:r>
          </w:p>
        </w:tc>
        <w:tc>
          <w:tcPr>
            <w:tcW w:w="42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047E1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1000</w:t>
            </w:r>
          </w:p>
        </w:tc>
        <w:tc>
          <w:tcPr>
            <w:tcW w:w="63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E35F4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589"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35DDD3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c>
          <w:tcPr>
            <w:tcW w:w="64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1C2690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26000</w:t>
            </w:r>
          </w:p>
        </w:tc>
      </w:tr>
      <w:tr w14:paraId="78B3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D5E2B6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lang w:val="en-US" w:eastAsia="zh-CN"/>
              </w:rPr>
            </w:pPr>
            <w:r>
              <w:rPr>
                <w:rFonts w:hint="eastAsia" w:ascii="方正仿宋_GB2312" w:hAnsi="方正仿宋_GB2312" w:eastAsia="方正仿宋_GB2312" w:cs="方正仿宋_GB2312"/>
                <w:b/>
                <w:bCs/>
                <w:i w:val="0"/>
                <w:iCs w:val="0"/>
                <w:color w:val="000000"/>
                <w:sz w:val="20"/>
                <w:szCs w:val="20"/>
                <w:u w:val="none"/>
                <w:lang w:val="en-US" w:eastAsia="zh-CN"/>
              </w:rPr>
              <w:t>2</w:t>
            </w:r>
          </w:p>
        </w:tc>
        <w:tc>
          <w:tcPr>
            <w:tcW w:w="26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B10F8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溆浦</w:t>
            </w:r>
          </w:p>
        </w:tc>
        <w:tc>
          <w:tcPr>
            <w:tcW w:w="77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761B58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怀化师范高等专科学校</w:t>
            </w:r>
          </w:p>
        </w:tc>
        <w:tc>
          <w:tcPr>
            <w:tcW w:w="42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E722C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2023级</w:t>
            </w:r>
          </w:p>
        </w:tc>
        <w:tc>
          <w:tcPr>
            <w:tcW w:w="694" w:type="pct"/>
            <w:tcBorders>
              <w:top w:val="single" w:color="2B2B2B" w:sz="4" w:space="0"/>
              <w:left w:val="single" w:color="2B2B2B" w:sz="4" w:space="0"/>
              <w:bottom w:val="single" w:color="2B2B2B" w:sz="4" w:space="0"/>
              <w:right w:val="single" w:color="2B2B2B" w:sz="4" w:space="0"/>
            </w:tcBorders>
            <w:shd w:val="clear" w:color="auto" w:fill="auto"/>
            <w:vAlign w:val="center"/>
          </w:tcPr>
          <w:p w14:paraId="0B240F8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弘慧青苗奖学金</w:t>
            </w:r>
          </w:p>
        </w:tc>
        <w:tc>
          <w:tcPr>
            <w:tcW w:w="27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EC67A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w:t>
            </w:r>
          </w:p>
        </w:tc>
        <w:tc>
          <w:tcPr>
            <w:tcW w:w="42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6720F4F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1000</w:t>
            </w:r>
          </w:p>
        </w:tc>
        <w:tc>
          <w:tcPr>
            <w:tcW w:w="63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F7EA7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589"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EF4CE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c>
          <w:tcPr>
            <w:tcW w:w="64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C2AEA6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20000</w:t>
            </w:r>
          </w:p>
        </w:tc>
      </w:tr>
      <w:tr w14:paraId="5EC7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BA4FFF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lang w:val="en-US" w:eastAsia="zh-CN"/>
              </w:rPr>
            </w:pPr>
            <w:r>
              <w:rPr>
                <w:rFonts w:hint="eastAsia" w:ascii="方正仿宋_GB2312" w:hAnsi="方正仿宋_GB2312" w:eastAsia="方正仿宋_GB2312" w:cs="方正仿宋_GB2312"/>
                <w:b/>
                <w:bCs/>
                <w:i w:val="0"/>
                <w:iCs w:val="0"/>
                <w:color w:val="000000"/>
                <w:sz w:val="20"/>
                <w:szCs w:val="20"/>
                <w:u w:val="none"/>
                <w:lang w:val="en-US" w:eastAsia="zh-CN"/>
              </w:rPr>
              <w:t>3</w:t>
            </w:r>
          </w:p>
        </w:tc>
        <w:tc>
          <w:tcPr>
            <w:tcW w:w="26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C98BE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通道</w:t>
            </w:r>
          </w:p>
        </w:tc>
        <w:tc>
          <w:tcPr>
            <w:tcW w:w="77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AE01F6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怀化师范高等专科学校</w:t>
            </w:r>
          </w:p>
        </w:tc>
        <w:tc>
          <w:tcPr>
            <w:tcW w:w="42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5E43C8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2023级</w:t>
            </w:r>
          </w:p>
        </w:tc>
        <w:tc>
          <w:tcPr>
            <w:tcW w:w="694"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D668B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弘慧青苗奖学金</w:t>
            </w:r>
          </w:p>
        </w:tc>
        <w:tc>
          <w:tcPr>
            <w:tcW w:w="27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C0F90F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4</w:t>
            </w:r>
          </w:p>
        </w:tc>
        <w:tc>
          <w:tcPr>
            <w:tcW w:w="42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0985803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1000</w:t>
            </w:r>
          </w:p>
        </w:tc>
        <w:tc>
          <w:tcPr>
            <w:tcW w:w="63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6CF83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589"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DC99C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c>
          <w:tcPr>
            <w:tcW w:w="64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FFCD0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8000</w:t>
            </w:r>
          </w:p>
        </w:tc>
      </w:tr>
      <w:tr w14:paraId="5DD27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D5A706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lang w:val="en-US" w:eastAsia="zh-CN"/>
              </w:rPr>
            </w:pPr>
            <w:r>
              <w:rPr>
                <w:rFonts w:hint="eastAsia" w:ascii="方正仿宋_GB2312" w:hAnsi="方正仿宋_GB2312" w:eastAsia="方正仿宋_GB2312" w:cs="方正仿宋_GB2312"/>
                <w:b/>
                <w:bCs/>
                <w:i w:val="0"/>
                <w:iCs w:val="0"/>
                <w:color w:val="000000"/>
                <w:sz w:val="20"/>
                <w:szCs w:val="20"/>
                <w:u w:val="none"/>
                <w:lang w:val="en-US" w:eastAsia="zh-CN"/>
              </w:rPr>
              <w:t>4</w:t>
            </w:r>
          </w:p>
        </w:tc>
        <w:tc>
          <w:tcPr>
            <w:tcW w:w="26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80FDF6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石门</w:t>
            </w:r>
          </w:p>
        </w:tc>
        <w:tc>
          <w:tcPr>
            <w:tcW w:w="77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FD551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湖南幼儿师范高等专科学校</w:t>
            </w:r>
          </w:p>
        </w:tc>
        <w:tc>
          <w:tcPr>
            <w:tcW w:w="42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0BA097B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2023级</w:t>
            </w:r>
          </w:p>
        </w:tc>
        <w:tc>
          <w:tcPr>
            <w:tcW w:w="694" w:type="pct"/>
            <w:tcBorders>
              <w:top w:val="single" w:color="2B2B2B" w:sz="4" w:space="0"/>
              <w:left w:val="single" w:color="2B2B2B" w:sz="4" w:space="0"/>
              <w:bottom w:val="single" w:color="2B2B2B" w:sz="4" w:space="0"/>
              <w:right w:val="single" w:color="2B2B2B" w:sz="4" w:space="0"/>
            </w:tcBorders>
            <w:shd w:val="clear" w:color="auto" w:fill="auto"/>
            <w:vAlign w:val="center"/>
          </w:tcPr>
          <w:p w14:paraId="696ADAF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弘慧青苗奖学金</w:t>
            </w:r>
          </w:p>
        </w:tc>
        <w:tc>
          <w:tcPr>
            <w:tcW w:w="27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1CE34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w:t>
            </w:r>
          </w:p>
        </w:tc>
        <w:tc>
          <w:tcPr>
            <w:tcW w:w="42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D46876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1000</w:t>
            </w:r>
          </w:p>
        </w:tc>
        <w:tc>
          <w:tcPr>
            <w:tcW w:w="63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2D691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589"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638A8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c>
          <w:tcPr>
            <w:tcW w:w="64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676436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r>
      <w:tr w14:paraId="18E1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204FE1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5</w:t>
            </w:r>
          </w:p>
        </w:tc>
        <w:tc>
          <w:tcPr>
            <w:tcW w:w="26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07C5E9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安乡</w:t>
            </w:r>
          </w:p>
        </w:tc>
        <w:tc>
          <w:tcPr>
            <w:tcW w:w="77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E94F6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湖南幼儿师范高等专科学校</w:t>
            </w:r>
          </w:p>
        </w:tc>
        <w:tc>
          <w:tcPr>
            <w:tcW w:w="42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47367DA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2023</w:t>
            </w:r>
          </w:p>
        </w:tc>
        <w:tc>
          <w:tcPr>
            <w:tcW w:w="694"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4E9D9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弘慧青苗奖学金</w:t>
            </w:r>
          </w:p>
        </w:tc>
        <w:tc>
          <w:tcPr>
            <w:tcW w:w="27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6F5A9F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w:t>
            </w:r>
          </w:p>
        </w:tc>
        <w:tc>
          <w:tcPr>
            <w:tcW w:w="42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1264D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1000</w:t>
            </w:r>
          </w:p>
        </w:tc>
        <w:tc>
          <w:tcPr>
            <w:tcW w:w="63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B6541A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589"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2C2EFB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c>
          <w:tcPr>
            <w:tcW w:w="64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76A7BA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r>
      <w:tr w14:paraId="3420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4C7EF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6</w:t>
            </w:r>
          </w:p>
        </w:tc>
        <w:tc>
          <w:tcPr>
            <w:tcW w:w="262"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ED4CA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安乡</w:t>
            </w:r>
          </w:p>
        </w:tc>
        <w:tc>
          <w:tcPr>
            <w:tcW w:w="77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652C87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湖南幼儿师范高等专科学校</w:t>
            </w:r>
          </w:p>
        </w:tc>
        <w:tc>
          <w:tcPr>
            <w:tcW w:w="42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7BBCFD6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2024</w:t>
            </w:r>
          </w:p>
        </w:tc>
        <w:tc>
          <w:tcPr>
            <w:tcW w:w="694" w:type="pct"/>
            <w:tcBorders>
              <w:top w:val="single" w:color="2B2B2B" w:sz="4" w:space="0"/>
              <w:left w:val="single" w:color="2B2B2B" w:sz="4" w:space="0"/>
              <w:bottom w:val="single" w:color="2B2B2B" w:sz="4" w:space="0"/>
              <w:right w:val="single" w:color="2B2B2B" w:sz="4" w:space="0"/>
            </w:tcBorders>
            <w:shd w:val="clear" w:color="auto" w:fill="auto"/>
            <w:vAlign w:val="center"/>
          </w:tcPr>
          <w:p w14:paraId="21336CA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弘慧青苗奖学金</w:t>
            </w:r>
          </w:p>
        </w:tc>
        <w:tc>
          <w:tcPr>
            <w:tcW w:w="277" w:type="pct"/>
            <w:tcBorders>
              <w:top w:val="single" w:color="2B2B2B" w:sz="4" w:space="0"/>
              <w:left w:val="single" w:color="2B2B2B" w:sz="4" w:space="0"/>
              <w:bottom w:val="single" w:color="2B2B2B" w:sz="4" w:space="0"/>
              <w:right w:val="single" w:color="2B2B2B" w:sz="4" w:space="0"/>
            </w:tcBorders>
            <w:shd w:val="clear" w:color="auto" w:fill="auto"/>
            <w:vAlign w:val="center"/>
          </w:tcPr>
          <w:p w14:paraId="58FD14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w:t>
            </w:r>
          </w:p>
        </w:tc>
        <w:tc>
          <w:tcPr>
            <w:tcW w:w="42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1B0F0E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lang w:val="en-US" w:eastAsia="zh-CN"/>
              </w:rPr>
            </w:pPr>
            <w:r>
              <w:rPr>
                <w:rFonts w:hint="eastAsia" w:ascii="方正仿宋_GB2312" w:hAnsi="方正仿宋_GB2312" w:eastAsia="方正仿宋_GB2312" w:cs="方正仿宋_GB2312"/>
                <w:i w:val="0"/>
                <w:iCs w:val="0"/>
                <w:color w:val="000000"/>
                <w:sz w:val="20"/>
                <w:szCs w:val="20"/>
                <w:u w:val="none"/>
                <w:lang w:val="en-US" w:eastAsia="zh-CN"/>
              </w:rPr>
              <w:t>1000</w:t>
            </w:r>
          </w:p>
        </w:tc>
        <w:tc>
          <w:tcPr>
            <w:tcW w:w="636" w:type="pct"/>
            <w:tcBorders>
              <w:top w:val="single" w:color="2B2B2B" w:sz="4" w:space="0"/>
              <w:left w:val="single" w:color="2B2B2B" w:sz="4" w:space="0"/>
              <w:bottom w:val="single" w:color="2B2B2B" w:sz="4" w:space="0"/>
              <w:right w:val="single" w:color="2B2B2B" w:sz="4" w:space="0"/>
            </w:tcBorders>
            <w:shd w:val="clear" w:color="auto" w:fill="auto"/>
            <w:vAlign w:val="center"/>
          </w:tcPr>
          <w:p w14:paraId="3178B2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589" w:type="pct"/>
            <w:tcBorders>
              <w:top w:val="single" w:color="2B2B2B" w:sz="4" w:space="0"/>
              <w:left w:val="single" w:color="2B2B2B" w:sz="4" w:space="0"/>
              <w:bottom w:val="single" w:color="2B2B2B" w:sz="4" w:space="0"/>
              <w:right w:val="single" w:color="2B2B2B" w:sz="4" w:space="0"/>
            </w:tcBorders>
            <w:shd w:val="clear" w:color="auto" w:fill="auto"/>
            <w:vAlign w:val="center"/>
          </w:tcPr>
          <w:p w14:paraId="6927FC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1000</w:t>
            </w:r>
          </w:p>
        </w:tc>
        <w:tc>
          <w:tcPr>
            <w:tcW w:w="641" w:type="pct"/>
            <w:tcBorders>
              <w:top w:val="single" w:color="2B2B2B" w:sz="4" w:space="0"/>
              <w:left w:val="single" w:color="2B2B2B" w:sz="4" w:space="0"/>
              <w:bottom w:val="single" w:color="2B2B2B" w:sz="4" w:space="0"/>
              <w:right w:val="single" w:color="2B2B2B" w:sz="4" w:space="0"/>
            </w:tcBorders>
            <w:shd w:val="clear" w:color="auto" w:fill="auto"/>
            <w:vAlign w:val="center"/>
          </w:tcPr>
          <w:p w14:paraId="0D0C029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3F3F3F"/>
                <w:kern w:val="0"/>
                <w:sz w:val="20"/>
                <w:szCs w:val="20"/>
                <w:u w:val="none"/>
                <w:lang w:val="en-US" w:eastAsia="zh-CN" w:bidi="ar"/>
              </w:rPr>
              <w:t>2000</w:t>
            </w:r>
          </w:p>
        </w:tc>
      </w:tr>
      <w:tr w14:paraId="4406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33" w:type="pct"/>
            <w:gridSpan w:val="5"/>
            <w:tcBorders>
              <w:top w:val="nil"/>
              <w:left w:val="single" w:color="2B2B2B" w:sz="4" w:space="0"/>
              <w:bottom w:val="single" w:color="2B2B2B" w:sz="4" w:space="0"/>
              <w:right w:val="single" w:color="2B2B2B" w:sz="4" w:space="0"/>
            </w:tcBorders>
            <w:shd w:val="clear" w:color="auto" w:fill="auto"/>
            <w:vAlign w:val="center"/>
          </w:tcPr>
          <w:p w14:paraId="52971968">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FF0000"/>
                <w:sz w:val="20"/>
                <w:szCs w:val="20"/>
                <w:u w:val="none"/>
              </w:rPr>
            </w:pPr>
            <w:r>
              <w:rPr>
                <w:rFonts w:hint="eastAsia" w:ascii="方正仿宋_GB2312" w:hAnsi="方正仿宋_GB2312" w:eastAsia="方正仿宋_GB2312" w:cs="方正仿宋_GB2312"/>
                <w:b/>
                <w:bCs/>
                <w:i w:val="0"/>
                <w:iCs w:val="0"/>
                <w:color w:val="3F3F3F"/>
                <w:kern w:val="0"/>
                <w:sz w:val="20"/>
                <w:szCs w:val="20"/>
                <w:u w:val="none"/>
                <w:lang w:val="en-US" w:eastAsia="zh-CN" w:bidi="ar"/>
              </w:rPr>
              <w:t>合计</w:t>
            </w:r>
          </w:p>
        </w:tc>
        <w:tc>
          <w:tcPr>
            <w:tcW w:w="277" w:type="pct"/>
            <w:tcBorders>
              <w:top w:val="nil"/>
              <w:left w:val="single" w:color="2B2B2B" w:sz="4" w:space="0"/>
              <w:bottom w:val="single" w:color="2B2B2B" w:sz="4" w:space="0"/>
              <w:right w:val="single" w:color="2B2B2B" w:sz="4" w:space="0"/>
            </w:tcBorders>
            <w:shd w:val="clear" w:color="auto" w:fill="auto"/>
            <w:noWrap/>
            <w:vAlign w:val="center"/>
          </w:tcPr>
          <w:p w14:paraId="75C150B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FF0000"/>
                <w:sz w:val="20"/>
                <w:szCs w:val="20"/>
                <w:u w:val="none"/>
                <w:lang w:val="en-US" w:eastAsia="zh-CN"/>
              </w:rPr>
            </w:pPr>
            <w:r>
              <w:rPr>
                <w:rFonts w:hint="eastAsia" w:ascii="方正仿宋_GB2312" w:hAnsi="方正仿宋_GB2312" w:eastAsia="方正仿宋_GB2312" w:cs="方正仿宋_GB2312"/>
                <w:b/>
                <w:bCs/>
                <w:i w:val="0"/>
                <w:iCs w:val="0"/>
                <w:color w:val="FF0000"/>
                <w:sz w:val="20"/>
                <w:szCs w:val="20"/>
                <w:u w:val="none"/>
                <w:lang w:val="en-US" w:eastAsia="zh-CN"/>
              </w:rPr>
              <w:t>30</w:t>
            </w:r>
          </w:p>
        </w:tc>
        <w:tc>
          <w:tcPr>
            <w:tcW w:w="421" w:type="pct"/>
            <w:tcBorders>
              <w:top w:val="nil"/>
              <w:left w:val="single" w:color="2B2B2B" w:sz="4" w:space="0"/>
              <w:bottom w:val="single" w:color="2B2B2B" w:sz="4" w:space="0"/>
              <w:right w:val="nil"/>
            </w:tcBorders>
            <w:shd w:val="clear" w:color="auto" w:fill="auto"/>
            <w:noWrap/>
            <w:vAlign w:val="center"/>
          </w:tcPr>
          <w:p w14:paraId="2BE6E0B6">
            <w:pPr>
              <w:jc w:val="center"/>
              <w:rPr>
                <w:rFonts w:hint="eastAsia" w:ascii="方正仿宋_GB2312" w:hAnsi="方正仿宋_GB2312" w:eastAsia="方正仿宋_GB2312" w:cs="方正仿宋_GB2312"/>
                <w:b/>
                <w:bCs/>
                <w:i w:val="0"/>
                <w:iCs w:val="0"/>
                <w:color w:val="FF0000"/>
                <w:sz w:val="20"/>
                <w:szCs w:val="20"/>
                <w:u w:val="none"/>
              </w:rPr>
            </w:pPr>
          </w:p>
        </w:tc>
        <w:tc>
          <w:tcPr>
            <w:tcW w:w="636" w:type="pct"/>
            <w:tcBorders>
              <w:top w:val="nil"/>
              <w:left w:val="single" w:color="2B2B2B" w:sz="4" w:space="0"/>
              <w:bottom w:val="single" w:color="2B2B2B" w:sz="4" w:space="0"/>
              <w:right w:val="nil"/>
            </w:tcBorders>
            <w:shd w:val="clear" w:color="auto" w:fill="auto"/>
            <w:noWrap/>
            <w:vAlign w:val="center"/>
          </w:tcPr>
          <w:p w14:paraId="2DB58E22">
            <w:pPr>
              <w:jc w:val="center"/>
              <w:rPr>
                <w:rFonts w:hint="eastAsia" w:ascii="方正仿宋_GB2312" w:hAnsi="方正仿宋_GB2312" w:eastAsia="方正仿宋_GB2312" w:cs="方正仿宋_GB2312"/>
                <w:b/>
                <w:bCs/>
                <w:i w:val="0"/>
                <w:iCs w:val="0"/>
                <w:color w:val="FF0000"/>
                <w:sz w:val="20"/>
                <w:szCs w:val="20"/>
                <w:u w:val="none"/>
              </w:rPr>
            </w:pPr>
          </w:p>
        </w:tc>
        <w:tc>
          <w:tcPr>
            <w:tcW w:w="589" w:type="pct"/>
            <w:tcBorders>
              <w:top w:val="nil"/>
              <w:left w:val="single" w:color="2B2B2B" w:sz="4" w:space="0"/>
              <w:bottom w:val="single" w:color="2B2B2B" w:sz="4" w:space="0"/>
              <w:right w:val="nil"/>
            </w:tcBorders>
            <w:shd w:val="clear" w:color="auto" w:fill="auto"/>
            <w:noWrap/>
            <w:vAlign w:val="center"/>
          </w:tcPr>
          <w:p w14:paraId="145E5B5C">
            <w:pPr>
              <w:jc w:val="center"/>
              <w:rPr>
                <w:rFonts w:hint="eastAsia" w:ascii="方正仿宋_GB2312" w:hAnsi="方正仿宋_GB2312" w:eastAsia="方正仿宋_GB2312" w:cs="方正仿宋_GB2312"/>
                <w:b/>
                <w:bCs/>
                <w:i w:val="0"/>
                <w:iCs w:val="0"/>
                <w:color w:val="FF0000"/>
                <w:sz w:val="20"/>
                <w:szCs w:val="20"/>
                <w:u w:val="none"/>
              </w:rPr>
            </w:pPr>
          </w:p>
        </w:tc>
        <w:tc>
          <w:tcPr>
            <w:tcW w:w="641" w:type="pct"/>
            <w:tcBorders>
              <w:top w:val="single" w:color="2B2B2B" w:sz="4" w:space="0"/>
              <w:left w:val="single" w:color="000000" w:sz="4" w:space="0"/>
              <w:bottom w:val="single" w:color="2B2B2B" w:sz="4" w:space="0"/>
              <w:right w:val="single" w:color="000000" w:sz="4" w:space="0"/>
            </w:tcBorders>
            <w:shd w:val="clear" w:color="auto" w:fill="auto"/>
            <w:noWrap/>
            <w:vAlign w:val="center"/>
          </w:tcPr>
          <w:p w14:paraId="5A726CE1">
            <w:pPr>
              <w:keepNext w:val="0"/>
              <w:keepLines w:val="0"/>
              <w:widowControl/>
              <w:suppressLineNumbers w:val="0"/>
              <w:ind w:firstLine="201" w:firstLineChars="100"/>
              <w:jc w:val="both"/>
              <w:textAlignment w:val="center"/>
              <w:rPr>
                <w:rFonts w:hint="eastAsia" w:ascii="方正仿宋_GB2312" w:hAnsi="方正仿宋_GB2312" w:eastAsia="方正仿宋_GB2312" w:cs="方正仿宋_GB2312"/>
                <w:b/>
                <w:bCs/>
                <w:i w:val="0"/>
                <w:iCs w:val="0"/>
                <w:color w:val="FF0000"/>
                <w:sz w:val="20"/>
                <w:szCs w:val="20"/>
                <w:u w:val="none"/>
              </w:rPr>
            </w:pPr>
            <w:r>
              <w:rPr>
                <w:rFonts w:hint="eastAsia" w:ascii="方正仿宋_GB2312" w:hAnsi="方正仿宋_GB2312" w:eastAsia="方正仿宋_GB2312" w:cs="方正仿宋_GB2312"/>
                <w:b/>
                <w:bCs/>
                <w:i w:val="0"/>
                <w:iCs w:val="0"/>
                <w:color w:val="3F3F3F"/>
                <w:kern w:val="0"/>
                <w:sz w:val="20"/>
                <w:szCs w:val="20"/>
                <w:u w:val="none"/>
                <w:lang w:val="en-US" w:eastAsia="zh-CN" w:bidi="ar"/>
              </w:rPr>
              <w:t>60000</w:t>
            </w:r>
          </w:p>
        </w:tc>
      </w:tr>
    </w:tbl>
    <w:p w14:paraId="69064CE1">
      <w:pPr>
        <w:pStyle w:val="8"/>
        <w:keepNext w:val="0"/>
        <w:keepLines w:val="0"/>
        <w:widowControl/>
        <w:numPr>
          <w:ilvl w:val="0"/>
          <w:numId w:val="0"/>
        </w:numPr>
        <w:suppressLineNumbers w:val="0"/>
        <w:spacing w:before="60" w:beforeAutospacing="0" w:after="60" w:afterAutospacing="0" w:line="13" w:lineRule="atLeast"/>
        <w:ind w:left="462" w:leftChars="0" w:right="0" w:rightChars="0" w:firstLine="480"/>
        <w:jc w:val="left"/>
        <w:rPr>
          <w:rFonts w:hint="eastAsia" w:ascii="方正仿宋_GB2312" w:hAnsi="方正仿宋_GB2312" w:eastAsia="方正仿宋_GB2312" w:cs="方正仿宋_GB2312"/>
          <w:b w:val="0"/>
          <w:bCs w:val="0"/>
          <w:i w:val="0"/>
          <w:iCs w:val="0"/>
          <w:color w:val="000000"/>
          <w:spacing w:val="0"/>
          <w:w w:val="100"/>
          <w:sz w:val="22"/>
          <w:szCs w:val="22"/>
          <w:vertAlign w:val="baseline"/>
          <w:lang w:val="en-US" w:eastAsia="zh-CN"/>
        </w:rPr>
      </w:pPr>
    </w:p>
    <w:p w14:paraId="52926BF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2025年春季，我们对 2024 年春季-2025 年春季期间持续获得青苗成长奖学金的同学展开调研并进行分析， 采用数据统计和定性评价相结合的方法，分析其学业成绩变化、2024 年秋季奖学金使用规划与 实际使用的一致性、乡村教育认识的变化（从 2024 年秋季到 2025 年春季）。</w:t>
      </w:r>
    </w:p>
    <w:p w14:paraId="4EBFD307">
      <w:pPr>
        <w:pStyle w:val="8"/>
        <w:keepNext w:val="0"/>
        <w:keepLines w:val="0"/>
        <w:pageBreakBefore w:val="0"/>
        <w:widowControl/>
        <w:numPr>
          <w:ilvl w:val="0"/>
          <w:numId w:val="3"/>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 xml:space="preserve">学业成绩提升显著：62.1%学生成绩进步，平均提升+0.24，表明奖学金减轻经济压力，帮助学业专注。案例如谢思琴（Δ+0.87）从“厌学”到“自考通过”。 </w:t>
      </w:r>
    </w:p>
    <w:p w14:paraId="7E9C669A">
      <w:pPr>
        <w:pStyle w:val="8"/>
        <w:keepNext w:val="0"/>
        <w:keepLines w:val="0"/>
        <w:pageBreakBefore w:val="0"/>
        <w:widowControl/>
        <w:numPr>
          <w:ilvl w:val="0"/>
          <w:numId w:val="3"/>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 xml:space="preserve">乡村教育认识深化明显：82.8%学生理解深化，挑战认知更系统（师资短缺成焦点），反映项目促进专业反思。变化驱动因素包括课程学习和奖学金支持的实践活动。 </w:t>
      </w:r>
    </w:p>
    <w:p w14:paraId="331FDD92">
      <w:pPr>
        <w:pStyle w:val="8"/>
        <w:keepNext w:val="0"/>
        <w:keepLines w:val="0"/>
        <w:pageBreakBefore w:val="0"/>
        <w:widowControl/>
        <w:numPr>
          <w:ilvl w:val="0"/>
          <w:numId w:val="3"/>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奖学金使用合理但需优化：75.9%计划与使用一致或部分一致，资金多用于教育相关支出（如学习 工具、技能培训），体现项目“教育激励”目标达成。</w:t>
      </w:r>
    </w:p>
    <w:p w14:paraId="73CA0097">
      <w:pPr>
        <w:pStyle w:val="8"/>
        <w:keepNext w:val="0"/>
        <w:keepLines w:val="0"/>
        <w:pageBreakBefore w:val="0"/>
        <w:widowControl/>
        <w:numPr>
          <w:ilvl w:val="0"/>
          <w:numId w:val="3"/>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成长积极性高，成长挑战仍需支持：学生设具体成长目标（如技能发展），但时间管理、自控力挑战普遍，项目可整合辅导资源。</w:t>
      </w:r>
    </w:p>
    <w:p w14:paraId="545C38F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941" w:leftChars="0" w:right="0" w:rightChars="0"/>
        <w:jc w:val="left"/>
        <w:textAlignment w:val="auto"/>
        <w:rPr>
          <w:rFonts w:hint="default"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详见附件：青苗计划-青苗奖学金获得者年度成长追踪报告</w:t>
      </w:r>
    </w:p>
    <w:p w14:paraId="158DA8FC">
      <w:pPr>
        <w:pStyle w:val="8"/>
        <w:keepNext w:val="0"/>
        <w:keepLines w:val="0"/>
        <w:widowControl/>
        <w:numPr>
          <w:ilvl w:val="0"/>
          <w:numId w:val="0"/>
        </w:numPr>
        <w:suppressLineNumbers w:val="0"/>
        <w:spacing w:before="60" w:beforeAutospacing="0" w:after="60" w:afterAutospacing="0" w:line="13" w:lineRule="atLeast"/>
        <w:ind w:right="0" w:rightChars="0"/>
        <w:jc w:val="left"/>
        <w:rPr>
          <w:rFonts w:hint="eastAsia" w:ascii="方正仿宋_GB2312" w:hAnsi="方正仿宋_GB2312" w:eastAsia="方正仿宋_GB2312" w:cs="方正仿宋_GB2312"/>
          <w:b/>
          <w:bCs/>
          <w:color w:val="1A1A1A"/>
          <w:sz w:val="25"/>
          <w:szCs w:val="25"/>
          <w:lang w:val="en-US" w:eastAsia="zh-CN"/>
        </w:rPr>
      </w:pPr>
    </w:p>
    <w:p w14:paraId="46FC5C82">
      <w:pPr>
        <w:pStyle w:val="8"/>
        <w:keepNext w:val="0"/>
        <w:keepLines w:val="0"/>
        <w:widowControl/>
        <w:numPr>
          <w:ilvl w:val="0"/>
          <w:numId w:val="2"/>
        </w:numPr>
        <w:suppressLineNumbers w:val="0"/>
        <w:spacing w:before="60" w:beforeAutospacing="0" w:after="60" w:afterAutospacing="0" w:line="13" w:lineRule="atLeast"/>
        <w:ind w:left="798" w:right="0" w:hanging="336"/>
        <w:jc w:val="left"/>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青苗研学</w:t>
      </w:r>
    </w:p>
    <w:p w14:paraId="0C4EB91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青苗研学是项目核心激励与能力提升举措，旨在通过 “走出去” 的方式，让学子接触前沿教育理念、优质教育资源，每年暑假举办，为期 3-5 天。2025 年第二届弘慧青苗创新教育研学活动于 7 月 27 日 —8 月 1 日在长沙、广州两地开展，17 名优秀弘慧公费师范生（其中2021级14人、2016级2人、2018级1人、2019级1人）通过 “高校参访 +机构交流+ 专家对话 + 工作坊” 的多元形式，实现了教育认知与实践能力的提升。</w:t>
      </w:r>
    </w:p>
    <w:p w14:paraId="05CAA853">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活动结束后，通过对学子提交的个人总结（17 份）、小组总结（4 组）进行系统梳理，参与的学员们普遍认为此行开阔了视野，触发了对教育工作的多角度思考，尤其对教学方法的多样性、教育资源的整合利用以及自身角色定位有了更具体的认识。</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53"/>
        <w:gridCol w:w="4836"/>
      </w:tblGrid>
      <w:tr w14:paraId="11B91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61B9C8A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240" w:lineRule="auto"/>
              <w:ind w:right="0" w:rightChars="0"/>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drawing>
                <wp:inline distT="0" distB="0" distL="114300" distR="114300">
                  <wp:extent cx="2565400" cy="1924050"/>
                  <wp:effectExtent l="0" t="0" r="0" b="635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6"/>
                          <a:stretch>
                            <a:fillRect/>
                          </a:stretch>
                        </pic:blipFill>
                        <pic:spPr>
                          <a:xfrm>
                            <a:off x="0" y="0"/>
                            <a:ext cx="2565400" cy="1924050"/>
                          </a:xfrm>
                          <a:prstGeom prst="rect">
                            <a:avLst/>
                          </a:prstGeom>
                        </pic:spPr>
                      </pic:pic>
                    </a:graphicData>
                  </a:graphic>
                </wp:inline>
              </w:drawing>
            </w:r>
          </w:p>
        </w:tc>
        <w:tc>
          <w:tcPr>
            <w:tcW w:w="4645" w:type="dxa"/>
          </w:tcPr>
          <w:p w14:paraId="3205FD6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240" w:lineRule="auto"/>
              <w:ind w:right="0" w:rightChars="0"/>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drawing>
                <wp:inline distT="0" distB="0" distL="114300" distR="114300">
                  <wp:extent cx="2925445" cy="1951990"/>
                  <wp:effectExtent l="0" t="0" r="8255" b="3810"/>
                  <wp:docPr id="3" name="图片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
                          <pic:cNvPicPr>
                            <a:picLocks noChangeAspect="1"/>
                          </pic:cNvPicPr>
                        </pic:nvPicPr>
                        <pic:blipFill>
                          <a:blip r:embed="rId7"/>
                          <a:stretch>
                            <a:fillRect/>
                          </a:stretch>
                        </pic:blipFill>
                        <pic:spPr>
                          <a:xfrm>
                            <a:off x="0" y="0"/>
                            <a:ext cx="2925445" cy="1951990"/>
                          </a:xfrm>
                          <a:prstGeom prst="rect">
                            <a:avLst/>
                          </a:prstGeom>
                        </pic:spPr>
                      </pic:pic>
                    </a:graphicData>
                  </a:graphic>
                </wp:inline>
              </w:drawing>
            </w:r>
          </w:p>
        </w:tc>
      </w:tr>
    </w:tbl>
    <w:p w14:paraId="6D95EA5E">
      <w:pPr>
        <w:pStyle w:val="8"/>
        <w:keepNext w:val="0"/>
        <w:keepLines w:val="0"/>
        <w:widowControl/>
        <w:numPr>
          <w:ilvl w:val="0"/>
          <w:numId w:val="2"/>
        </w:numPr>
        <w:suppressLineNumbers w:val="0"/>
        <w:spacing w:before="60" w:beforeAutospacing="0" w:after="60" w:afterAutospacing="0" w:line="13" w:lineRule="atLeast"/>
        <w:ind w:left="798" w:right="0" w:hanging="336"/>
        <w:jc w:val="left"/>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社群活动</w:t>
      </w:r>
    </w:p>
    <w:p w14:paraId="15F1F69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社群活动作为“连接青苗学子、传承教学经验、互助专业成长” 的核心载体，本项目周期内累计开展 4 场重点活动（此外还有3场联谊活动开展），覆盖不同年级、不同区域学子，具体详情如下：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8"/>
        <w:gridCol w:w="2753"/>
        <w:gridCol w:w="2917"/>
      </w:tblGrid>
      <w:tr w14:paraId="287C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8" w:type="dxa"/>
          </w:tcPr>
          <w:p w14:paraId="59D96CBC">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照片</w:t>
            </w:r>
          </w:p>
        </w:tc>
        <w:tc>
          <w:tcPr>
            <w:tcW w:w="2753" w:type="dxa"/>
          </w:tcPr>
          <w:p w14:paraId="6836DCBB">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时间、地点、人数</w:t>
            </w:r>
          </w:p>
        </w:tc>
        <w:tc>
          <w:tcPr>
            <w:tcW w:w="2917" w:type="dxa"/>
          </w:tcPr>
          <w:p w14:paraId="69BDFB36">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pPr>
            <w:r>
              <w:rPr>
                <w:rFonts w:hint="eastAsia" w:ascii="方正仿宋_GB2312" w:hAnsi="方正仿宋_GB2312" w:eastAsia="方正仿宋_GB2312" w:cs="方正仿宋_GB2312"/>
                <w:b/>
                <w:bCs/>
                <w:i w:val="0"/>
                <w:iCs w:val="0"/>
                <w:color w:val="000000"/>
                <w:spacing w:val="0"/>
                <w:w w:val="100"/>
                <w:sz w:val="22"/>
                <w:szCs w:val="22"/>
                <w:vertAlign w:val="baseline"/>
                <w:lang w:val="en-US" w:eastAsia="zh-CN"/>
              </w:rPr>
              <w:t>描述</w:t>
            </w:r>
          </w:p>
        </w:tc>
      </w:tr>
      <w:tr w14:paraId="0F90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8" w:type="dxa"/>
          </w:tcPr>
          <w:p w14:paraId="253B908D">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drawing>
                <wp:inline distT="0" distB="0" distL="114300" distR="114300">
                  <wp:extent cx="2170430" cy="1627505"/>
                  <wp:effectExtent l="0" t="0" r="1270" b="10795"/>
                  <wp:docPr id="2" name="图片 2" descr="510e455f04685208c6f23ea924beba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10e455f04685208c6f23ea924beba95"/>
                          <pic:cNvPicPr>
                            <a:picLocks noChangeAspect="1"/>
                          </pic:cNvPicPr>
                        </pic:nvPicPr>
                        <pic:blipFill>
                          <a:blip r:embed="rId8"/>
                          <a:stretch>
                            <a:fillRect/>
                          </a:stretch>
                        </pic:blipFill>
                        <pic:spPr>
                          <a:xfrm>
                            <a:off x="0" y="0"/>
                            <a:ext cx="2170430" cy="1627505"/>
                          </a:xfrm>
                          <a:prstGeom prst="rect">
                            <a:avLst/>
                          </a:prstGeom>
                        </pic:spPr>
                      </pic:pic>
                    </a:graphicData>
                  </a:graphic>
                </wp:inline>
              </w:drawing>
            </w:r>
          </w:p>
        </w:tc>
        <w:tc>
          <w:tcPr>
            <w:tcW w:w="2753" w:type="dxa"/>
          </w:tcPr>
          <w:p w14:paraId="5111D67A">
            <w:pPr>
              <w:pStyle w:val="7"/>
              <w:keepNext w:val="0"/>
              <w:keepLines w:val="0"/>
              <w:widowControl/>
              <w:suppressLineNumbers w:val="0"/>
              <w:shd w:val="clear" w:fill="FFFFFF"/>
              <w:spacing w:before="0" w:beforeAutospacing="0" w:after="0" w:afterAutospacing="0"/>
              <w:ind w:left="0" w:right="0" w:firstLine="0"/>
              <w:rPr>
                <w:rFonts w:hint="eastAsia" w:ascii="方正仿宋_GB2312" w:hAnsi="方正仿宋_GB2312" w:eastAsia="方正仿宋_GB2312" w:cs="方正仿宋_GB2312"/>
                <w:i w:val="0"/>
                <w:iCs w:val="0"/>
                <w:caps w:val="0"/>
                <w:color w:val="10141A"/>
                <w:spacing w:val="0"/>
                <w:sz w:val="20"/>
                <w:szCs w:val="20"/>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2024年11月2日，怀化师范高等专科学校书吧青苗秋季学期交流会；40人参与</w:t>
            </w:r>
          </w:p>
          <w:p w14:paraId="0FEDB51C">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p>
        </w:tc>
        <w:tc>
          <w:tcPr>
            <w:tcW w:w="2917" w:type="dxa"/>
          </w:tcPr>
          <w:p w14:paraId="2E2F3C99">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不同年级的项目成员对上学期的项目活动进行收获分享、交流新学年个人成长规划；</w:t>
            </w:r>
          </w:p>
        </w:tc>
      </w:tr>
      <w:tr w14:paraId="3D12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3588" w:type="dxa"/>
          </w:tcPr>
          <w:p w14:paraId="20F52D44">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drawing>
                <wp:inline distT="0" distB="0" distL="114300" distR="114300">
                  <wp:extent cx="2139950" cy="1605280"/>
                  <wp:effectExtent l="0" t="0" r="6350" b="7620"/>
                  <wp:docPr id="9" name="图片 9" descr="3e693c7391be3874343109e62a7d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e693c7391be3874343109e62a7d3371"/>
                          <pic:cNvPicPr>
                            <a:picLocks noChangeAspect="1"/>
                          </pic:cNvPicPr>
                        </pic:nvPicPr>
                        <pic:blipFill>
                          <a:blip r:embed="rId9"/>
                          <a:stretch>
                            <a:fillRect/>
                          </a:stretch>
                        </pic:blipFill>
                        <pic:spPr>
                          <a:xfrm>
                            <a:off x="0" y="0"/>
                            <a:ext cx="2139950" cy="1605280"/>
                          </a:xfrm>
                          <a:prstGeom prst="rect">
                            <a:avLst/>
                          </a:prstGeom>
                        </pic:spPr>
                      </pic:pic>
                    </a:graphicData>
                  </a:graphic>
                </wp:inline>
              </w:drawing>
            </w:r>
          </w:p>
        </w:tc>
        <w:tc>
          <w:tcPr>
            <w:tcW w:w="2753" w:type="dxa"/>
          </w:tcPr>
          <w:p w14:paraId="03ACF160">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2024年11月15日，前往怀化坨院小学（乡村好校长李骏所在学校）组织小学高年级秋游活动；27名青苗参与</w:t>
            </w:r>
          </w:p>
        </w:tc>
        <w:tc>
          <w:tcPr>
            <w:tcW w:w="2917" w:type="dxa"/>
          </w:tcPr>
          <w:p w14:paraId="7CA91BB8">
            <w:pPr>
              <w:pStyle w:val="8"/>
              <w:keepNext w:val="0"/>
              <w:keepLines w:val="0"/>
              <w:widowControl/>
              <w:suppressLineNumbers w:val="0"/>
              <w:spacing w:before="60" w:beforeAutospacing="0" w:after="60" w:afterAutospacing="0" w:line="13" w:lineRule="atLeast"/>
              <w:ind w:right="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借助乡村好校长的力量，支持青苗学子的成长。</w:t>
            </w:r>
          </w:p>
        </w:tc>
      </w:tr>
      <w:tr w14:paraId="47E9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8" w:type="dxa"/>
            <w:shd w:val="clear" w:color="auto" w:fill="auto"/>
            <w:vAlign w:val="top"/>
          </w:tcPr>
          <w:p w14:paraId="3C9516CF">
            <w:pPr>
              <w:pStyle w:val="8"/>
              <w:keepNext w:val="0"/>
              <w:keepLines w:val="0"/>
              <w:widowControl/>
              <w:suppressLineNumbers w:val="0"/>
              <w:spacing w:before="60" w:beforeAutospacing="0" w:after="60" w:afterAutospacing="0" w:line="13" w:lineRule="atLeast"/>
              <w:ind w:right="0" w:rightChars="0"/>
              <w:jc w:val="left"/>
              <w:rPr>
                <w:rFonts w:hint="eastAsia" w:ascii="方正仿宋_GB2312" w:hAnsi="方正仿宋_GB2312" w:eastAsia="方正仿宋_GB2312" w:cs="方正仿宋_GB2312"/>
                <w:b w:val="0"/>
                <w:bCs w:val="0"/>
                <w:i w:val="0"/>
                <w:iCs w:val="0"/>
                <w:color w:val="000000"/>
                <w:spacing w:val="0"/>
                <w:w w:val="100"/>
                <w:kern w:val="2"/>
                <w:sz w:val="20"/>
                <w:szCs w:val="20"/>
                <w:vertAlign w:val="baseline"/>
                <w:lang w:val="en-US" w:eastAsia="zh-CN" w:bidi="ar-SA"/>
              </w:rPr>
            </w:pPr>
            <w:r>
              <w:rPr>
                <w:rFonts w:hint="eastAsia" w:ascii="方正仿宋_GB2312" w:hAnsi="方正仿宋_GB2312" w:eastAsia="方正仿宋_GB2312" w:cs="方正仿宋_GB2312"/>
                <w:b w:val="0"/>
                <w:bCs w:val="0"/>
                <w:i w:val="0"/>
                <w:iCs w:val="0"/>
                <w:color w:val="000000"/>
                <w:spacing w:val="0"/>
                <w:w w:val="100"/>
                <w:kern w:val="2"/>
                <w:sz w:val="20"/>
                <w:szCs w:val="20"/>
                <w:vertAlign w:val="baseline"/>
                <w:lang w:val="en-US" w:eastAsia="zh-CN" w:bidi="ar-SA"/>
              </w:rPr>
              <w:drawing>
                <wp:inline distT="0" distB="0" distL="114300" distR="114300">
                  <wp:extent cx="2183765" cy="1637665"/>
                  <wp:effectExtent l="0" t="0" r="635" b="635"/>
                  <wp:docPr id="4" name="图片 4" descr="6c08c023e68b336a1ada0332beece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c08c023e68b336a1ada0332beece16b"/>
                          <pic:cNvPicPr>
                            <a:picLocks noChangeAspect="1"/>
                          </pic:cNvPicPr>
                        </pic:nvPicPr>
                        <pic:blipFill>
                          <a:blip r:embed="rId10"/>
                          <a:stretch>
                            <a:fillRect/>
                          </a:stretch>
                        </pic:blipFill>
                        <pic:spPr>
                          <a:xfrm>
                            <a:off x="0" y="0"/>
                            <a:ext cx="2183765" cy="1637665"/>
                          </a:xfrm>
                          <a:prstGeom prst="rect">
                            <a:avLst/>
                          </a:prstGeom>
                        </pic:spPr>
                      </pic:pic>
                    </a:graphicData>
                  </a:graphic>
                </wp:inline>
              </w:drawing>
            </w:r>
          </w:p>
        </w:tc>
        <w:tc>
          <w:tcPr>
            <w:tcW w:w="2753" w:type="dxa"/>
            <w:shd w:val="clear" w:color="auto" w:fill="auto"/>
            <w:vAlign w:val="top"/>
          </w:tcPr>
          <w:p w14:paraId="6140CCFD">
            <w:pPr>
              <w:pStyle w:val="8"/>
              <w:keepNext w:val="0"/>
              <w:keepLines w:val="0"/>
              <w:widowControl/>
              <w:suppressLineNumbers w:val="0"/>
              <w:spacing w:before="60" w:beforeAutospacing="0" w:after="60" w:afterAutospacing="0" w:line="13" w:lineRule="atLeast"/>
              <w:ind w:right="0" w:rightChars="0"/>
              <w:jc w:val="left"/>
              <w:rPr>
                <w:rFonts w:hint="eastAsia" w:ascii="方正仿宋_GB2312" w:hAnsi="方正仿宋_GB2312" w:eastAsia="方正仿宋_GB2312" w:cs="方正仿宋_GB2312"/>
                <w:b w:val="0"/>
                <w:bCs w:val="0"/>
                <w:i w:val="0"/>
                <w:iCs w:val="0"/>
                <w:color w:val="000000"/>
                <w:spacing w:val="0"/>
                <w:w w:val="100"/>
                <w:kern w:val="2"/>
                <w:sz w:val="20"/>
                <w:szCs w:val="20"/>
                <w:vertAlign w:val="baseline"/>
                <w:lang w:val="en-US" w:eastAsia="zh-CN" w:bidi="ar-SA"/>
              </w:rPr>
            </w:pPr>
            <w:r>
              <w:rPr>
                <w:rFonts w:hint="eastAsia" w:ascii="方正仿宋_GB2312" w:hAnsi="方正仿宋_GB2312" w:eastAsia="方正仿宋_GB2312" w:cs="方正仿宋_GB2312"/>
                <w:b w:val="0"/>
                <w:bCs w:val="0"/>
                <w:i w:val="0"/>
                <w:iCs w:val="0"/>
                <w:color w:val="000000"/>
                <w:spacing w:val="0"/>
                <w:w w:val="100"/>
                <w:sz w:val="20"/>
                <w:szCs w:val="20"/>
                <w:vertAlign w:val="baseline"/>
              </w:rPr>
              <w:t>202</w:t>
            </w: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5</w:t>
            </w:r>
            <w:r>
              <w:rPr>
                <w:rFonts w:hint="eastAsia" w:ascii="方正仿宋_GB2312" w:hAnsi="方正仿宋_GB2312" w:eastAsia="方正仿宋_GB2312" w:cs="方正仿宋_GB2312"/>
                <w:b w:val="0"/>
                <w:bCs w:val="0"/>
                <w:i w:val="0"/>
                <w:iCs w:val="0"/>
                <w:color w:val="000000"/>
                <w:spacing w:val="0"/>
                <w:w w:val="100"/>
                <w:sz w:val="20"/>
                <w:szCs w:val="20"/>
                <w:vertAlign w:val="baseline"/>
              </w:rPr>
              <w:t>年</w:t>
            </w: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3</w:t>
            </w:r>
            <w:r>
              <w:rPr>
                <w:rFonts w:hint="eastAsia" w:ascii="方正仿宋_GB2312" w:hAnsi="方正仿宋_GB2312" w:eastAsia="方正仿宋_GB2312" w:cs="方正仿宋_GB2312"/>
                <w:b w:val="0"/>
                <w:bCs w:val="0"/>
                <w:i w:val="0"/>
                <w:iCs w:val="0"/>
                <w:color w:val="000000"/>
                <w:spacing w:val="0"/>
                <w:w w:val="100"/>
                <w:sz w:val="20"/>
                <w:szCs w:val="20"/>
                <w:vertAlign w:val="baseline"/>
              </w:rPr>
              <w:t>月</w:t>
            </w: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3</w:t>
            </w:r>
            <w:r>
              <w:rPr>
                <w:rFonts w:hint="eastAsia" w:ascii="方正仿宋_GB2312" w:hAnsi="方正仿宋_GB2312" w:eastAsia="方正仿宋_GB2312" w:cs="方正仿宋_GB2312"/>
                <w:b w:val="0"/>
                <w:bCs w:val="0"/>
                <w:i w:val="0"/>
                <w:iCs w:val="0"/>
                <w:color w:val="000000"/>
                <w:spacing w:val="0"/>
                <w:w w:val="100"/>
                <w:sz w:val="20"/>
                <w:szCs w:val="20"/>
                <w:vertAlign w:val="baseline"/>
              </w:rPr>
              <w:t>日</w:t>
            </w:r>
            <w:r>
              <w:rPr>
                <w:rFonts w:hint="eastAsia" w:ascii="方正仿宋_GB2312" w:hAnsi="方正仿宋_GB2312" w:eastAsia="方正仿宋_GB2312" w:cs="方正仿宋_GB2312"/>
                <w:b w:val="0"/>
                <w:bCs w:val="0"/>
                <w:i w:val="0"/>
                <w:iCs w:val="0"/>
                <w:color w:val="000000"/>
                <w:spacing w:val="0"/>
                <w:w w:val="100"/>
                <w:sz w:val="20"/>
                <w:szCs w:val="20"/>
                <w:vertAlign w:val="baseline"/>
                <w:lang w:eastAsia="zh-CN"/>
              </w:rPr>
              <w:t>，</w:t>
            </w: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怀化师范高等专科学校书吧，</w:t>
            </w:r>
            <w:r>
              <w:rPr>
                <w:rFonts w:hint="eastAsia" w:ascii="方正仿宋_GB2312" w:hAnsi="方正仿宋_GB2312" w:eastAsia="方正仿宋_GB2312" w:cs="方正仿宋_GB2312"/>
                <w:b w:val="0"/>
                <w:bCs w:val="0"/>
                <w:i w:val="0"/>
                <w:iCs w:val="0"/>
                <w:color w:val="000000"/>
                <w:spacing w:val="0"/>
                <w:w w:val="100"/>
                <w:sz w:val="20"/>
                <w:szCs w:val="20"/>
                <w:vertAlign w:val="baseline"/>
              </w:rPr>
              <w:t>举办了青苗欢送会，有46位青苗计划成员参与活动</w:t>
            </w:r>
          </w:p>
        </w:tc>
        <w:tc>
          <w:tcPr>
            <w:tcW w:w="2917" w:type="dxa"/>
            <w:shd w:val="clear" w:color="auto" w:fill="auto"/>
            <w:vAlign w:val="top"/>
          </w:tcPr>
          <w:p w14:paraId="24C6407A">
            <w:pPr>
              <w:pStyle w:val="8"/>
              <w:keepNext w:val="0"/>
              <w:keepLines w:val="0"/>
              <w:widowControl/>
              <w:suppressLineNumbers w:val="0"/>
              <w:spacing w:before="60" w:beforeAutospacing="0" w:after="60" w:afterAutospacing="0" w:line="13" w:lineRule="atLeast"/>
              <w:ind w:right="0" w:rightChars="0"/>
              <w:jc w:val="left"/>
              <w:rPr>
                <w:rFonts w:hint="eastAsia" w:ascii="方正仿宋_GB2312" w:hAnsi="方正仿宋_GB2312" w:eastAsia="方正仿宋_GB2312" w:cs="方正仿宋_GB2312"/>
                <w:b w:val="0"/>
                <w:bCs w:val="0"/>
                <w:i w:val="0"/>
                <w:iCs w:val="0"/>
                <w:color w:val="000000"/>
                <w:spacing w:val="0"/>
                <w:w w:val="100"/>
                <w:kern w:val="2"/>
                <w:sz w:val="20"/>
                <w:szCs w:val="20"/>
                <w:vertAlign w:val="baseline"/>
                <w:lang w:val="en-US" w:eastAsia="zh-CN" w:bidi="ar-SA"/>
              </w:rPr>
            </w:pPr>
            <w:r>
              <w:rPr>
                <w:rFonts w:hint="eastAsia" w:ascii="方正仿宋_GB2312" w:hAnsi="方正仿宋_GB2312" w:eastAsia="方正仿宋_GB2312" w:cs="方正仿宋_GB2312"/>
                <w:b w:val="0"/>
                <w:bCs w:val="0"/>
                <w:i w:val="0"/>
                <w:iCs w:val="0"/>
                <w:color w:val="000000"/>
                <w:spacing w:val="0"/>
                <w:w w:val="100"/>
                <w:sz w:val="20"/>
                <w:szCs w:val="20"/>
                <w:vertAlign w:val="baseline"/>
              </w:rPr>
              <w:t>活动中学长学姐分享了在校的学习生活经验，学弟学妹们送上了自己的祝福。同时组织2021级进行座谈，关心实习准备情况、个人生活安顿情况等</w:t>
            </w:r>
            <w:r>
              <w:rPr>
                <w:rFonts w:hint="eastAsia" w:ascii="方正仿宋_GB2312" w:hAnsi="方正仿宋_GB2312" w:eastAsia="方正仿宋_GB2312" w:cs="方正仿宋_GB2312"/>
                <w:b w:val="0"/>
                <w:bCs w:val="0"/>
                <w:i w:val="0"/>
                <w:iCs w:val="0"/>
                <w:color w:val="000000"/>
                <w:spacing w:val="0"/>
                <w:w w:val="100"/>
                <w:sz w:val="20"/>
                <w:szCs w:val="20"/>
                <w:vertAlign w:val="baseline"/>
                <w:lang w:eastAsia="zh-CN"/>
              </w:rPr>
              <w:t>；</w:t>
            </w:r>
          </w:p>
        </w:tc>
      </w:tr>
      <w:tr w14:paraId="21A4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8" w:type="dxa"/>
            <w:shd w:val="clear" w:color="auto" w:fill="auto"/>
            <w:vAlign w:val="top"/>
          </w:tcPr>
          <w:p w14:paraId="3F369BA1">
            <w:pPr>
              <w:pStyle w:val="8"/>
              <w:keepNext w:val="0"/>
              <w:keepLines w:val="0"/>
              <w:widowControl/>
              <w:suppressLineNumbers w:val="0"/>
              <w:spacing w:before="60" w:beforeAutospacing="0" w:after="60" w:afterAutospacing="0" w:line="13" w:lineRule="atLeast"/>
              <w:ind w:right="0" w:rightChars="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drawing>
                <wp:inline distT="0" distB="0" distL="114300" distR="114300">
                  <wp:extent cx="2185035" cy="1638935"/>
                  <wp:effectExtent l="0" t="0" r="12065" b="12065"/>
                  <wp:docPr id="6" name="图片 6" descr="青苗计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青苗计划"/>
                          <pic:cNvPicPr>
                            <a:picLocks noChangeAspect="1"/>
                          </pic:cNvPicPr>
                        </pic:nvPicPr>
                        <pic:blipFill>
                          <a:blip r:embed="rId11"/>
                          <a:stretch>
                            <a:fillRect/>
                          </a:stretch>
                        </pic:blipFill>
                        <pic:spPr>
                          <a:xfrm>
                            <a:off x="0" y="0"/>
                            <a:ext cx="2185035" cy="1638935"/>
                          </a:xfrm>
                          <a:prstGeom prst="rect">
                            <a:avLst/>
                          </a:prstGeom>
                        </pic:spPr>
                      </pic:pic>
                    </a:graphicData>
                  </a:graphic>
                </wp:inline>
              </w:drawing>
            </w:r>
          </w:p>
        </w:tc>
        <w:tc>
          <w:tcPr>
            <w:tcW w:w="2753" w:type="dxa"/>
            <w:shd w:val="clear" w:color="auto" w:fill="auto"/>
            <w:vAlign w:val="top"/>
          </w:tcPr>
          <w:p w14:paraId="786186C1">
            <w:pPr>
              <w:pStyle w:val="8"/>
              <w:keepNext w:val="0"/>
              <w:keepLines w:val="0"/>
              <w:widowControl/>
              <w:suppressLineNumbers w:val="0"/>
              <w:spacing w:before="60" w:beforeAutospacing="0" w:after="60" w:afterAutospacing="0" w:line="13" w:lineRule="atLeast"/>
              <w:ind w:right="0" w:rightChars="0"/>
              <w:jc w:val="left"/>
              <w:rPr>
                <w:rFonts w:hint="default" w:ascii="方正仿宋_GB2312" w:hAnsi="方正仿宋_GB2312" w:eastAsia="方正仿宋_GB2312" w:cs="方正仿宋_GB2312"/>
                <w:b w:val="0"/>
                <w:bCs w:val="0"/>
                <w:i w:val="0"/>
                <w:iCs w:val="0"/>
                <w:color w:val="000000"/>
                <w:spacing w:val="0"/>
                <w:w w:val="100"/>
                <w:sz w:val="20"/>
                <w:szCs w:val="20"/>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2025年6月开始，9名青苗成员，线上形式为主</w:t>
            </w:r>
          </w:p>
        </w:tc>
        <w:tc>
          <w:tcPr>
            <w:tcW w:w="2917" w:type="dxa"/>
            <w:shd w:val="clear" w:color="auto" w:fill="auto"/>
            <w:vAlign w:val="top"/>
          </w:tcPr>
          <w:p w14:paraId="3E25D1D2">
            <w:pPr>
              <w:pStyle w:val="8"/>
              <w:keepNext w:val="0"/>
              <w:keepLines w:val="0"/>
              <w:widowControl/>
              <w:suppressLineNumbers w:val="0"/>
              <w:spacing w:before="60" w:beforeAutospacing="0" w:after="60" w:afterAutospacing="0" w:line="13" w:lineRule="atLeast"/>
              <w:ind w:right="0" w:rightChars="0"/>
              <w:jc w:val="left"/>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rPr>
            </w:pPr>
            <w:r>
              <w:rPr>
                <w:rFonts w:hint="eastAsia" w:ascii="方正仿宋_GB2312" w:hAnsi="方正仿宋_GB2312" w:eastAsia="方正仿宋_GB2312" w:cs="方正仿宋_GB2312"/>
                <w:b w:val="0"/>
                <w:bCs w:val="0"/>
                <w:i w:val="0"/>
                <w:iCs w:val="0"/>
                <w:color w:val="000000"/>
                <w:spacing w:val="0"/>
                <w:w w:val="100"/>
                <w:sz w:val="20"/>
                <w:szCs w:val="20"/>
                <w:vertAlign w:val="baseline"/>
                <w:lang w:val="en-US" w:eastAsia="zh-CN"/>
              </w:rPr>
              <w:t>7名在岗青苗教师、2名在校青苗学子与7名弘慧优秀乡村老师、校长于导师计划结对。</w:t>
            </w:r>
          </w:p>
        </w:tc>
      </w:tr>
    </w:tbl>
    <w:p w14:paraId="06EB2FA8">
      <w:pPr>
        <w:pStyle w:val="8"/>
        <w:keepNext w:val="0"/>
        <w:keepLines w:val="0"/>
        <w:widowControl/>
        <w:numPr>
          <w:ilvl w:val="0"/>
          <w:numId w:val="2"/>
        </w:numPr>
        <w:suppressLineNumbers w:val="0"/>
        <w:spacing w:before="60" w:beforeAutospacing="0" w:after="60" w:afterAutospacing="0" w:line="13" w:lineRule="atLeast"/>
        <w:ind w:left="798" w:right="0" w:hanging="336"/>
        <w:jc w:val="left"/>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sz w:val="28"/>
          <w:szCs w:val="28"/>
          <w:lang w:val="en-US" w:eastAsia="zh-CN"/>
        </w:rPr>
        <w:t xml:space="preserve"> 教育实践活动</w:t>
      </w:r>
    </w:p>
    <w:p w14:paraId="1D1BC2B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实践是检验能力、提升素养的核心路径，本项目周期内重点推动三类教育实践活动，实现 “在校学子练本领、在岗教师提能力、乡村学生得实惠、政企校促共赢” 的多方价值共创：</w:t>
      </w:r>
    </w:p>
    <w:p w14:paraId="6C02CD4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乡村训练营志愿者服务</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：33 名青苗学子（占乡村训练营志愿者总数的13.4%）参与 2025 年乡村训练营服务，服务区域覆盖沅陵、溆浦、通道等筑梦计划合作县域，遍布多个营地，服务对象为当年初中新增的弘慧学子。学子具体承担三大职责：一是开设兴趣培养课程，担任课程教师或担任班主任，；二是活动组织，负责营期内团队游戏、户外实践等活动的策划与实施；三是成长陪伴，关注营员的心理状态，开展陪伴活动。</w:t>
      </w:r>
    </w:p>
    <w:p w14:paraId="2BB8C60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三力盒子创新教育实践</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：6 名乡村在岗青苗教师（分布在沅陵、溆浦、安乡两地乡村学校）参与项目三力盒子实践，借助弘慧三力盒子（含创新教学工具、课程设计模板、资源包）开展教学创新。累计服务乡村学生 120 人（其中留守儿童占比 100%），有效丰富了乡村学生的课堂体验。优秀实践教师廉汇慧参与青苗研学，并就实践情况进行分享。</w:t>
      </w:r>
    </w:p>
    <w:p w14:paraId="646FC63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助力爱心企业员工子女暑期托班：</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3 名青苗学子于 2025 年暑期参与弘慧爱心企业 —— 兴业合金的员工子女暑期托班服务工作。学子全程承担托班核心职责，包括学业辅导、兴趣课程开展、安全看护及日</w:t>
      </w:r>
      <w:bookmarkStart w:id="0" w:name="_GoBack"/>
      <w:bookmarkEnd w:id="0"/>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常活动组织等。期间，学子凭借扎实的专业基础、耐心负责的态度获得企业与员工家长的高度认可。托班工作结束后，兴业合金为表达对青苗学子服务的认可及对乡村教育的支持，向他们所任教的乡村学校班级捐赠了教学物资。</w:t>
      </w:r>
    </w:p>
    <w:p w14:paraId="4029B3C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default" w:ascii="Segoe UI" w:hAnsi="Segoe UI" w:eastAsia="Segoe UI" w:cs="Segoe UI"/>
          <w:i w:val="0"/>
          <w:iCs w:val="0"/>
          <w:caps w:val="0"/>
          <w:spacing w:val="0"/>
          <w:sz w:val="16"/>
          <w:szCs w:val="16"/>
          <w:shd w:val="clear" w:fill="FFFFFF"/>
          <w:lang w:val="en-US" w:eastAsia="zh-CN"/>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5"/>
      </w:tblGrid>
      <w:tr w14:paraId="1550C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7B050B95">
            <w:pPr>
              <w:pStyle w:val="4"/>
              <w:ind w:left="0" w:leftChars="0" w:firstLine="0" w:firstLineChars="0"/>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sz w:val="20"/>
                <w:szCs w:val="20"/>
              </w:rPr>
              <w:drawing>
                <wp:inline distT="0" distB="0" distL="0" distR="0">
                  <wp:extent cx="2730500" cy="2150110"/>
                  <wp:effectExtent l="0" t="0" r="0" b="8890"/>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2"/>
                          <a:stretch>
                            <a:fillRect/>
                          </a:stretch>
                        </pic:blipFill>
                        <pic:spPr>
                          <a:xfrm>
                            <a:off x="0" y="0"/>
                            <a:ext cx="2730500" cy="2150110"/>
                          </a:xfrm>
                          <a:prstGeom prst="rect">
                            <a:avLst/>
                          </a:prstGeom>
                        </pic:spPr>
                      </pic:pic>
                    </a:graphicData>
                  </a:graphic>
                </wp:inline>
              </w:drawing>
            </w:r>
          </w:p>
        </w:tc>
        <w:tc>
          <w:tcPr>
            <w:tcW w:w="4645" w:type="dxa"/>
          </w:tcPr>
          <w:p w14:paraId="5440CF42">
            <w:pPr>
              <w:pStyle w:val="4"/>
              <w:ind w:left="0" w:leftChars="0" w:firstLine="0" w:firstLineChars="0"/>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sz w:val="20"/>
                <w:szCs w:val="20"/>
              </w:rPr>
              <w:drawing>
                <wp:inline distT="0" distB="0" distL="0" distR="0">
                  <wp:extent cx="2614930" cy="2176780"/>
                  <wp:effectExtent l="0" t="0" r="1270" b="7620"/>
                  <wp:docPr id="50" name="picture" descr="descript"/>
                  <wp:cNvGraphicFramePr/>
                  <a:graphic xmlns:a="http://schemas.openxmlformats.org/drawingml/2006/main">
                    <a:graphicData uri="http://schemas.openxmlformats.org/drawingml/2006/picture">
                      <pic:pic xmlns:pic="http://schemas.openxmlformats.org/drawingml/2006/picture">
                        <pic:nvPicPr>
                          <pic:cNvPr id="50" name="picture" descr="descript"/>
                          <pic:cNvPicPr/>
                        </pic:nvPicPr>
                        <pic:blipFill>
                          <a:blip r:embed="rId13"/>
                          <a:stretch>
                            <a:fillRect/>
                          </a:stretch>
                        </pic:blipFill>
                        <pic:spPr>
                          <a:xfrm>
                            <a:off x="0" y="0"/>
                            <a:ext cx="2614930" cy="2176780"/>
                          </a:xfrm>
                          <a:prstGeom prst="rect">
                            <a:avLst/>
                          </a:prstGeom>
                        </pic:spPr>
                      </pic:pic>
                    </a:graphicData>
                  </a:graphic>
                </wp:inline>
              </w:drawing>
            </w:r>
          </w:p>
        </w:tc>
      </w:tr>
    </w:tbl>
    <w:p w14:paraId="3259D406">
      <w:pPr>
        <w:pStyle w:val="4"/>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p>
    <w:p w14:paraId="4DD0D8B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bCs/>
          <w:color w:val="3F3F3F"/>
          <w:sz w:val="28"/>
          <w:szCs w:val="28"/>
          <w:lang w:val="en-US" w:eastAsia="zh-CN"/>
        </w:rPr>
      </w:pPr>
      <w:r>
        <w:rPr>
          <w:rFonts w:hint="eastAsia" w:ascii="方正仿宋_GB2312" w:hAnsi="方正仿宋_GB2312" w:eastAsia="方正仿宋_GB2312" w:cs="方正仿宋_GB2312"/>
          <w:b/>
          <w:bCs/>
          <w:color w:val="3F3F3F"/>
          <w:sz w:val="28"/>
          <w:szCs w:val="28"/>
          <w:lang w:val="en-US" w:eastAsia="zh-CN"/>
        </w:rPr>
        <w:t>【</w:t>
      </w:r>
      <w:r>
        <w:rPr>
          <w:rFonts w:hint="eastAsia" w:ascii="方正仿宋_GB2312" w:hAnsi="方正仿宋_GB2312" w:eastAsia="方正仿宋_GB2312" w:cs="方正仿宋_GB2312"/>
          <w:b/>
          <w:bCs/>
          <w:sz w:val="28"/>
          <w:szCs w:val="28"/>
        </w:rPr>
        <w:t>项目</w:t>
      </w:r>
      <w:r>
        <w:rPr>
          <w:rFonts w:hint="eastAsia" w:ascii="方正仿宋_GB2312" w:hAnsi="方正仿宋_GB2312" w:eastAsia="方正仿宋_GB2312" w:cs="方正仿宋_GB2312"/>
          <w:b/>
          <w:bCs/>
          <w:sz w:val="28"/>
          <w:szCs w:val="28"/>
          <w:lang w:val="en-US" w:eastAsia="zh-CN"/>
        </w:rPr>
        <w:t>运营情况</w:t>
      </w:r>
      <w:r>
        <w:rPr>
          <w:rFonts w:hint="eastAsia" w:ascii="方正仿宋_GB2312" w:hAnsi="方正仿宋_GB2312" w:eastAsia="方正仿宋_GB2312" w:cs="方正仿宋_GB2312"/>
          <w:b/>
          <w:bCs/>
          <w:color w:val="3F3F3F"/>
          <w:sz w:val="28"/>
          <w:szCs w:val="28"/>
          <w:lang w:val="en-US" w:eastAsia="zh-CN"/>
        </w:rPr>
        <w:t>】</w:t>
      </w:r>
    </w:p>
    <w:p w14:paraId="4A19873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1. 线下社群自主运营机制成熟</w:t>
      </w:r>
    </w:p>
    <w:p w14:paraId="4E16512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本项目周期内，分布在怀化师范高等专科学校、湖南幼儿师范高等专科学校、湖南文理学院、沅陵等多个地区的青苗学子，形成了 “核心骨干牵头 + 几乎全员参与” 的自主运营模式。具体表现为：一是建立了社群组织架构，每个区域 / 学校推选 2-3 名核心骨干（负责活动策划、沟通协调、信息传达）；二是形成了活动发起流程，由学子自主提出需求、策划方案、分工执行、总结复盘；三是活动形式多元化，除了项目支持的重点活动，学子自主发起立冬包饺子、项目活动分享会、等 4 场特色活动，参与率约70%，社群凝聚力与归属感显著增强。</w:t>
      </w:r>
    </w:p>
    <w:p w14:paraId="0C387E7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2. 外出研学自我管理体系高效</w:t>
      </w:r>
    </w:p>
    <w:p w14:paraId="778C2F5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连续两届的青苗研学活动中，学子全面承担 “自我管理、自我服务” 职责，形成了完善的执行体系：一是提前组建筹备组，下设后勤组（协助负责住宿、餐饮、交通协调、答谢礼品准备）、传播组（负责照片拍摄、文案撰写、媒体宣传）、主持组（负责活动串联、座谈主持），每组设组长 1 名，明确分工；二是开展活动前培训，针对后勤保障、活动传播、应急处理等内容进行专项培训，提升执行能力；三是建立沟通反馈机制，每日活动结束后召开小组例会，总结当天问题、优化次日流程。</w:t>
      </w:r>
    </w:p>
    <w:p w14:paraId="271641CB">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eastAsia" w:ascii="方正小标宋简体" w:hAnsi="方正小标宋简体" w:eastAsia="方正小标宋简体" w:cs="方正小标宋简体"/>
          <w:b/>
          <w:bCs/>
          <w:color w:val="3F3F3F"/>
          <w:sz w:val="28"/>
          <w:szCs w:val="28"/>
          <w:lang w:val="en-US" w:eastAsia="zh-CN"/>
        </w:rPr>
      </w:pPr>
      <w:r>
        <w:rPr>
          <w:rFonts w:hint="eastAsia" w:ascii="方正小标宋简体" w:hAnsi="方正小标宋简体" w:eastAsia="方正小标宋简体" w:cs="方正小标宋简体"/>
          <w:b/>
          <w:bCs/>
          <w:color w:val="3F3F3F"/>
          <w:sz w:val="28"/>
          <w:szCs w:val="28"/>
          <w:lang w:val="en-US" w:eastAsia="zh-CN"/>
        </w:rPr>
        <w:t>项目成效</w:t>
      </w:r>
    </w:p>
    <w:p w14:paraId="1360A7A3">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1、经济赋能与情感认同双提升：</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奖学金切实缓解了低年级公费师范生的经济压力，奖学金的发放帮助他们能更专注于学业与专业发展。资金使用数据显示，教育支出占比达 75%，与项目 “教育激励” 定位高度契合。同时，教育，情感层面，学子核心感受集中在 “荣誉感”、“压力与动力并存”、“感受到持续支持”，既强化了对 “公费师范生” 身份的职业认同，也深化了对青苗计划的项目归属感。</w:t>
      </w:r>
    </w:p>
    <w:p w14:paraId="0FF6319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2、学子联络网络全面覆盖</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：通过奖学金发放、社群活动、研学参与、实践对接等多元渠道，有效联络弘慧公费师范生约 200 人，基本覆盖 2019-2024 级，涵盖怀化师范高等专科学校、湖南幼儿师范高等专科学校等多所院校，构建起 “跨年级、跨学校、跨县域” 的学子沟通网络，为后续精准推送资源、提供个性化服务奠定了坚实基础。</w:t>
      </w:r>
    </w:p>
    <w:p w14:paraId="07EC798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3、研学激励形成良性循环：</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研学作为项目核心激励资源，有效激发了低年级学子的参与热情，“将努力提升学业成绩、积极参与实践，争取研学机会”，形成了 “榜样引领 - 目标驱动 - 成长提升” 的良性循环；</w:t>
      </w:r>
    </w:p>
    <w:p w14:paraId="3149DBD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color w:val="3F3F3F"/>
          <w:sz w:val="22"/>
          <w:szCs w:val="22"/>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4、榜样示范，名师引领</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：有效拓宽了青苗学子的支持网络，通过导师计划、乡村好校长合作活动、县域内教师交流等多元形式，让学子有更多机会近距离接触优秀乡村校长、骨干教师。如通过与7 名弘慧优秀乡村老师、校长结成导师对子，学子获得针对性的教学指导与职业规划建议；借助怀化坨院小学乡村好校长李骏的资源，学子在实践活动中学习优秀教育管理理念与教学方法；县域内教师活动则促进了同行间的经验分享与专业交流，为学子树立了清晰的职业榜样。</w:t>
      </w:r>
    </w:p>
    <w:p w14:paraId="4EBC7765">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eastAsia" w:ascii="方正小标宋简体" w:hAnsi="方正小标宋简体" w:eastAsia="方正小标宋简体" w:cs="方正小标宋简体"/>
          <w:b/>
          <w:bCs/>
          <w:color w:val="3F3F3F"/>
          <w:sz w:val="28"/>
          <w:szCs w:val="28"/>
          <w:lang w:val="en-US" w:eastAsia="zh-CN"/>
        </w:rPr>
      </w:pPr>
      <w:r>
        <w:rPr>
          <w:rFonts w:hint="eastAsia" w:ascii="方正小标宋简体" w:hAnsi="方正小标宋简体" w:eastAsia="方正小标宋简体" w:cs="方正小标宋简体"/>
          <w:b/>
          <w:bCs/>
          <w:color w:val="3F3F3F"/>
          <w:sz w:val="28"/>
          <w:szCs w:val="28"/>
          <w:lang w:val="en-US" w:eastAsia="zh-CN"/>
        </w:rPr>
        <w:t>项目反思与挑战</w:t>
      </w:r>
    </w:p>
    <w:p w14:paraId="7A79BA45">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1、</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成员新增已经结束（合作县域的初中起点公费师范生招生政策2025年全面暂停），在校成员逐步走向在岗，需要重新判断项目的未来发展方向与价值，并设计相应项目手段</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。从高校为运营单位，转为县域为项目运营单位，持续关注到有意愿、动力为乡村教育服务的弘慧学子，建立县域项目社群。</w:t>
      </w:r>
    </w:p>
    <w:p w14:paraId="6A3404E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default"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需要建立/运营各县弘慧学子教师的社群，保留青苗计划 “无门槛加入” 原则，建立所有弘慧公费师范生都能接触项目基础资源，例如县域内的社群活动参与、资源分享。为青苗研学这一核心项目活动设计明确的参与门槛，奖励那些愿意持续扎根/反哺乡村教育的弘慧学子教师。评选维度：1、个人能力：教学能力、班级管理能力；2、乡村教育价值观：做适合乡村孩子的教育的价值观、有乡村教育理想；3、持续学习成长的动力。</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逐步看见榜样、奖励榜样、宣传榜样。</w:t>
      </w:r>
    </w:p>
    <w:p w14:paraId="009BBDFF">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2、</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评估体系：从 “中短期反馈” 到 “长期追踪”，完善成效评估维度。</w:t>
      </w:r>
    </w:p>
    <w:p w14:paraId="2655962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当前项目评估多聚焦于中短期反馈（如活动满意度、即时收获，获奖学子的年度成长收获），缺乏长期追踪与量化指标，评估体系不够健全：</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缺乏长期追踪数据：</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如学子毕业后的任教地区、任教年限、教学业绩，与未参与项目的弘慧公费师范生的对比数据；</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缺乏量化评估指标：</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如职业认同感的具体评估维度（职业满意度、留任意愿、乡村教育情感评分），项目成效与乡村教育质量提升的关联性数据（如学子任教后学生成绩变化、综合素质提升）；</w:t>
      </w: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评估方法单一：</w:t>
      </w: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以问卷调查、个人总结为主，缺乏第三方评估（如乡村学校对青苗教师的评价）、教学成果量化分析（如课程质量评分）。</w:t>
      </w:r>
    </w:p>
    <w:p w14:paraId="331E5675">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459" w:leftChars="0" w:right="0" w:rightChars="0" w:firstLine="482"/>
        <w:jc w:val="left"/>
        <w:textAlignment w:val="auto"/>
        <w:rPr>
          <w:rFonts w:hint="eastAsia" w:ascii="方正仿宋_GB2312" w:hAnsi="方正仿宋_GB2312" w:eastAsia="方正仿宋_GB2312" w:cs="方正仿宋_GB2312"/>
          <w:color w:val="3F3F3F"/>
          <w:sz w:val="24"/>
          <w:szCs w:val="24"/>
          <w:lang w:val="en-US" w:eastAsia="zh-CN"/>
        </w:rPr>
      </w:pPr>
      <w:r>
        <w:rPr>
          <w:rFonts w:hint="eastAsia" w:ascii="方正仿宋_GB2312" w:hAnsi="方正仿宋_GB2312" w:eastAsia="方正仿宋_GB2312" w:cs="方正仿宋_GB2312"/>
          <w:b w:val="0"/>
          <w:bCs w:val="0"/>
          <w:i w:val="0"/>
          <w:iCs w:val="0"/>
          <w:color w:val="000000"/>
          <w:spacing w:val="0"/>
          <w:w w:val="100"/>
          <w:sz w:val="24"/>
          <w:szCs w:val="24"/>
          <w:vertAlign w:val="baseline"/>
          <w:lang w:val="en-US" w:eastAsia="zh-CN"/>
        </w:rPr>
        <w:t>后续需构建 “短期 - 中期 - 长期” 三级评估体系：短期（活动结束后）关注参与度、满意度、即时收获；中期（1 年）关注学业成绩、实践能力、职业认同感变化；长期（定岗结束后）关注任教留任率、教学业绩、乡村教育贡献。</w:t>
      </w:r>
    </w:p>
    <w:p w14:paraId="7A53496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941" w:leftChars="0" w:right="0" w:rightChars="0"/>
        <w:jc w:val="left"/>
        <w:textAlignment w:val="auto"/>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pPr>
    </w:p>
    <w:p w14:paraId="1F0CDCE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941" w:leftChars="0" w:right="0" w:rightChars="0"/>
        <w:jc w:val="left"/>
        <w:textAlignment w:val="auto"/>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附件：青苗计划-青苗奖学金获得者年度成长追踪报告</w:t>
      </w:r>
    </w:p>
    <w:p w14:paraId="756EDFB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941" w:leftChars="0" w:right="0" w:rightChars="0"/>
        <w:jc w:val="left"/>
        <w:textAlignment w:val="auto"/>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pPr>
    </w:p>
    <w:p w14:paraId="3A133EE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60" w:beforeAutospacing="0" w:after="60" w:afterAutospacing="0" w:line="420" w:lineRule="exact"/>
        <w:ind w:left="941" w:leftChars="0" w:right="0" w:rightChars="0"/>
        <w:jc w:val="right"/>
        <w:textAlignment w:val="auto"/>
        <w:rPr>
          <w:rFonts w:hint="default" w:ascii="方正仿宋_GB2312" w:hAnsi="方正仿宋_GB2312" w:eastAsia="方正仿宋_GB2312" w:cs="方正仿宋_GB2312"/>
          <w:b/>
          <w:bCs/>
          <w:i w:val="0"/>
          <w:iCs w:val="0"/>
          <w:color w:val="000000"/>
          <w:spacing w:val="0"/>
          <w:w w:val="100"/>
          <w:sz w:val="24"/>
          <w:szCs w:val="24"/>
          <w:vertAlign w:val="baseline"/>
          <w:lang w:val="en-US" w:eastAsia="zh-CN"/>
        </w:rPr>
      </w:pPr>
      <w:r>
        <w:rPr>
          <w:rFonts w:hint="eastAsia" w:ascii="方正仿宋_GB2312" w:hAnsi="方正仿宋_GB2312" w:eastAsia="方正仿宋_GB2312" w:cs="方正仿宋_GB2312"/>
          <w:b/>
          <w:bCs/>
          <w:i w:val="0"/>
          <w:iCs w:val="0"/>
          <w:color w:val="000000"/>
          <w:spacing w:val="0"/>
          <w:w w:val="100"/>
          <w:sz w:val="24"/>
          <w:szCs w:val="24"/>
          <w:vertAlign w:val="baseline"/>
          <w:lang w:val="en-US" w:eastAsia="zh-CN"/>
        </w:rPr>
        <w:t>报告时间：2025年12月30日</w:t>
      </w:r>
    </w:p>
    <w:sectPr>
      <w:headerReference r:id="rId4" w:type="first"/>
      <w:headerReference r:id="rId3" w:type="default"/>
      <w:pgSz w:w="11909" w:h="16834"/>
      <w:pgMar w:top="1440" w:right="1418" w:bottom="1440" w:left="1418"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B908D">
    <w:pPr>
      <w:pStyle w:val="6"/>
      <w:jc w:val="both"/>
      <w:rPr>
        <w:rFonts w:hint="eastAsia" w:eastAsiaTheme="minorEastAsia"/>
        <w:lang w:eastAsia="zh-CN"/>
      </w:rPr>
    </w:pPr>
    <w:r>
      <w:drawing>
        <wp:inline distT="0" distB="0" distL="114300" distR="114300">
          <wp:extent cx="1928495" cy="378460"/>
          <wp:effectExtent l="0" t="0" r="1905"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
                  <a:stretch>
                    <a:fillRect/>
                  </a:stretch>
                </pic:blipFill>
                <pic:spPr>
                  <a:xfrm>
                    <a:off x="0" y="0"/>
                    <a:ext cx="1928495" cy="378460"/>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885190" cy="546735"/>
          <wp:effectExtent l="0" t="0" r="0" b="0"/>
          <wp:docPr id="11" name="图片 11" descr="青苗计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青苗计划"/>
                  <pic:cNvPicPr>
                    <a:picLocks noChangeAspect="1"/>
                  </pic:cNvPicPr>
                </pic:nvPicPr>
                <pic:blipFill>
                  <a:blip r:embed="rId2"/>
                  <a:srcRect l="46042" t="8787" r="11667" b="25132"/>
                  <a:stretch>
                    <a:fillRect/>
                  </a:stretch>
                </pic:blipFill>
                <pic:spPr>
                  <a:xfrm>
                    <a:off x="0" y="0"/>
                    <a:ext cx="885190" cy="54673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26FD">
    <w:pPr>
      <w:pStyle w:val="6"/>
      <w:jc w:val="both"/>
      <w:rPr>
        <w:rFonts w:hint="eastAsia" w:eastAsiaTheme="minorEastAsia"/>
        <w:lang w:eastAsia="zh-CN"/>
      </w:rPr>
    </w:pPr>
    <w:r>
      <w:drawing>
        <wp:inline distT="0" distB="0" distL="114300" distR="114300">
          <wp:extent cx="1928495" cy="378460"/>
          <wp:effectExtent l="0" t="0" r="190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928495" cy="378460"/>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885190" cy="546735"/>
          <wp:effectExtent l="0" t="0" r="0" b="0"/>
          <wp:docPr id="8" name="图片 8" descr="青苗计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青苗计划"/>
                  <pic:cNvPicPr>
                    <a:picLocks noChangeAspect="1"/>
                  </pic:cNvPicPr>
                </pic:nvPicPr>
                <pic:blipFill>
                  <a:blip r:embed="rId2"/>
                  <a:srcRect l="46042" t="8787" r="11667" b="25132"/>
                  <a:stretch>
                    <a:fillRect/>
                  </a:stretch>
                </pic:blipFill>
                <pic:spPr>
                  <a:xfrm>
                    <a:off x="0" y="0"/>
                    <a:ext cx="885190" cy="5467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F0A95"/>
    <w:multiLevelType w:val="singleLevel"/>
    <w:tmpl w:val="B38F0A95"/>
    <w:lvl w:ilvl="0" w:tentative="0">
      <w:start w:val="1"/>
      <w:numFmt w:val="decimal"/>
      <w:suff w:val="space"/>
      <w:lvlText w:val="%1."/>
      <w:lvlJc w:val="left"/>
    </w:lvl>
  </w:abstractNum>
  <w:abstractNum w:abstractNumId="1">
    <w:nsid w:val="BD011C42"/>
    <w:multiLevelType w:val="singleLevel"/>
    <w:tmpl w:val="BD011C42"/>
    <w:lvl w:ilvl="0" w:tentative="0">
      <w:start w:val="1"/>
      <w:numFmt w:val="chineseCounting"/>
      <w:suff w:val="space"/>
      <w:lvlText w:val="第%1部分"/>
      <w:lvlJc w:val="left"/>
      <w:rPr>
        <w:rFonts w:hint="eastAsia"/>
      </w:rPr>
    </w:lvl>
  </w:abstractNum>
  <w:abstractNum w:abstractNumId="2">
    <w:nsid w:val="2871E5F6"/>
    <w:multiLevelType w:val="multilevel"/>
    <w:tmpl w:val="2871E5F6"/>
    <w:lvl w:ilvl="0" w:tentative="0">
      <w:start w:val="1"/>
      <w:numFmt w:val="decimal"/>
      <w:lvlText w:val="%1、"/>
      <w:lvlJc w:val="left"/>
      <w:pPr>
        <w:ind w:left="720"/>
      </w:pPr>
      <w:rPr>
        <w:rFonts w:hint="default" w:ascii="Times New Roman" w:hAnsi="Times New Roman" w:cs="Times New Roman"/>
      </w:rPr>
    </w:lvl>
    <w:lvl w:ilvl="1" w:tentative="0">
      <w:start w:val="1"/>
      <w:numFmt w:val="lowerLetter"/>
      <w:lvlText w:val="%2)"/>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DB0EAF"/>
    <w:rsid w:val="04E525A1"/>
    <w:rsid w:val="073D3B17"/>
    <w:rsid w:val="099E0166"/>
    <w:rsid w:val="153A1865"/>
    <w:rsid w:val="32BD2F35"/>
    <w:rsid w:val="3AC71D5C"/>
    <w:rsid w:val="41130852"/>
    <w:rsid w:val="435D265A"/>
    <w:rsid w:val="443E2940"/>
    <w:rsid w:val="58D07631"/>
    <w:rsid w:val="5A086E51"/>
    <w:rsid w:val="5B5D4FA5"/>
    <w:rsid w:val="5C953F0A"/>
    <w:rsid w:val="60A6480D"/>
    <w:rsid w:val="66D12EBE"/>
    <w:rsid w:val="6B895E10"/>
    <w:rsid w:val="718C7230"/>
    <w:rsid w:val="71DB0EAF"/>
    <w:rsid w:val="749D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left="7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spacing w:after="200"/>
      <w:ind w:right="144"/>
      <w:jc w:val="right"/>
    </w:pPr>
    <w:rPr>
      <w:color w:val="4B5A60"/>
      <w:szCs w:val="24"/>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nhideWhenUsed/>
    <w:qFormat/>
    <w:uiPriority w:val="0"/>
    <w:rPr>
      <w:rFonts w:ascii="Times New Roman" w:hAnsi="Times New Roman" w:cs="Times New Roman"/>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4290</Words>
  <Characters>4589</Characters>
  <Lines>0</Lines>
  <Paragraphs>0</Paragraphs>
  <TotalTime>13</TotalTime>
  <ScaleCrop>false</ScaleCrop>
  <LinksUpToDate>false</LinksUpToDate>
  <CharactersWithSpaces>4691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2025-12-24T02:09:00Z</dcterms:created>
  <dc:creator>默</dc:creator>
  <cp:lastModifiedBy>默</cp:lastModifiedBy>
  <dcterms:modified xsi:type="dcterms:W3CDTF">2026-01-19T08:31:42Z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4A0B14308653430882CA4F2032B6B304_11</vt:lpwstr>
  </property>
  <property fmtid="{D5CDD505-2E9C-101B-9397-08002B2CF9AE}" pid="4" name="KSOTemplateDocerSaveRecord">
    <vt:lpwstr>eyJoZGlkIjoiZTM4NjZjNTJkOGI4YTE0ODQyNzUzYmVhNWFkZmFjNmMiLCJ1c2VySWQiOiIyNDY0MDkxMzYifQ==</vt:lpwstr>
  </property>
</Properties>
</file>